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4FB" w:rsidRPr="00E624FB" w:rsidRDefault="00E624FB" w:rsidP="00E624FB">
      <w:pPr>
        <w:spacing w:line="360" w:lineRule="auto"/>
        <w:ind w:firstLine="709"/>
        <w:jc w:val="both"/>
        <w:rPr>
          <w:b/>
          <w:sz w:val="28"/>
          <w:lang w:val="uk-UA"/>
        </w:rPr>
      </w:pPr>
      <w:r w:rsidRPr="00E624FB">
        <w:rPr>
          <w:b/>
          <w:sz w:val="28"/>
          <w:lang w:val="uk-UA"/>
        </w:rPr>
        <w:t xml:space="preserve">                                                                           Данилович О.Д.</w:t>
      </w:r>
    </w:p>
    <w:p w:rsidR="00E624FB" w:rsidRPr="00E624FB" w:rsidRDefault="00E624FB" w:rsidP="00E624FB">
      <w:pPr>
        <w:spacing w:line="360" w:lineRule="auto"/>
        <w:ind w:firstLine="709"/>
        <w:jc w:val="both"/>
        <w:rPr>
          <w:sz w:val="28"/>
          <w:lang w:val="uk-UA"/>
        </w:rPr>
      </w:pPr>
      <w:r w:rsidRPr="00E624FB">
        <w:rPr>
          <w:sz w:val="28"/>
          <w:lang w:val="uk-UA"/>
        </w:rPr>
        <w:t xml:space="preserve">                                                                доцент кафедри іноземних мов             </w:t>
      </w:r>
    </w:p>
    <w:p w:rsidR="00E624FB" w:rsidRPr="00E624FB" w:rsidRDefault="00E624FB" w:rsidP="00E624FB">
      <w:pPr>
        <w:spacing w:line="360" w:lineRule="auto"/>
        <w:ind w:firstLine="709"/>
        <w:jc w:val="both"/>
        <w:rPr>
          <w:sz w:val="28"/>
          <w:lang w:val="uk-UA"/>
        </w:rPr>
      </w:pPr>
      <w:r w:rsidRPr="00E624FB">
        <w:rPr>
          <w:sz w:val="28"/>
          <w:lang w:val="uk-UA"/>
        </w:rPr>
        <w:t xml:space="preserve">                                                                 для гуманітарних факультетів</w:t>
      </w:r>
    </w:p>
    <w:p w:rsidR="00E624FB" w:rsidRPr="00E624FB" w:rsidRDefault="00E624FB" w:rsidP="00E624FB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E624FB">
        <w:rPr>
          <w:i/>
          <w:sz w:val="28"/>
          <w:lang w:val="uk-UA"/>
        </w:rPr>
        <w:t xml:space="preserve">                                                                 Чернівецький національний</w:t>
      </w:r>
    </w:p>
    <w:p w:rsidR="00E624FB" w:rsidRPr="00E624FB" w:rsidRDefault="00E624FB" w:rsidP="00E624FB">
      <w:pPr>
        <w:spacing w:line="360" w:lineRule="auto"/>
        <w:ind w:firstLine="709"/>
        <w:jc w:val="both"/>
        <w:rPr>
          <w:i/>
          <w:sz w:val="28"/>
          <w:lang w:val="uk-UA"/>
        </w:rPr>
      </w:pPr>
      <w:r w:rsidRPr="00E624FB">
        <w:rPr>
          <w:i/>
          <w:sz w:val="28"/>
          <w:lang w:val="uk-UA"/>
        </w:rPr>
        <w:t xml:space="preserve">                                                     університет   імені Юрія  </w:t>
      </w:r>
      <w:proofErr w:type="spellStart"/>
      <w:r w:rsidRPr="00E624FB">
        <w:rPr>
          <w:i/>
          <w:sz w:val="28"/>
          <w:lang w:val="uk-UA"/>
        </w:rPr>
        <w:t>Федьковича</w:t>
      </w:r>
      <w:proofErr w:type="spellEnd"/>
      <w:r w:rsidRPr="00E624FB">
        <w:rPr>
          <w:i/>
          <w:sz w:val="28"/>
          <w:lang w:val="uk-UA"/>
        </w:rPr>
        <w:t xml:space="preserve">,              </w:t>
      </w:r>
    </w:p>
    <w:p w:rsidR="00E624FB" w:rsidRPr="00E624FB" w:rsidRDefault="00E624FB" w:rsidP="00E624FB">
      <w:pPr>
        <w:spacing w:line="360" w:lineRule="auto"/>
        <w:ind w:firstLine="709"/>
        <w:jc w:val="both"/>
        <w:rPr>
          <w:sz w:val="28"/>
          <w:lang w:val="uk-UA"/>
        </w:rPr>
      </w:pPr>
      <w:r w:rsidRPr="00E624FB">
        <w:rPr>
          <w:i/>
          <w:sz w:val="28"/>
          <w:lang w:val="uk-UA"/>
        </w:rPr>
        <w:t xml:space="preserve">                                                                          м. Чернівці,     Україна         </w:t>
      </w:r>
    </w:p>
    <w:p w:rsidR="00A81B91" w:rsidRDefault="006C7BEB" w:rsidP="006C7BEB">
      <w:pPr>
        <w:spacing w:line="360" w:lineRule="auto"/>
        <w:ind w:firstLine="709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>Ш</w:t>
      </w:r>
      <w:r w:rsidR="00E624FB">
        <w:rPr>
          <w:b/>
          <w:sz w:val="28"/>
          <w:lang w:val="uk-UA"/>
        </w:rPr>
        <w:t xml:space="preserve">ИРОТА СПОЛУЧУВАНОСТІ </w:t>
      </w:r>
      <w:r w:rsidR="00A81B91">
        <w:rPr>
          <w:b/>
          <w:sz w:val="28"/>
          <w:lang w:val="uk-UA"/>
        </w:rPr>
        <w:t xml:space="preserve">НА СИНТАКСИЧНОМУ РІВНІ </w:t>
      </w:r>
      <w:r w:rsidR="00E624FB">
        <w:rPr>
          <w:b/>
          <w:sz w:val="28"/>
          <w:lang w:val="uk-UA"/>
        </w:rPr>
        <w:t xml:space="preserve">У </w:t>
      </w:r>
      <w:r w:rsidR="00A81B91">
        <w:rPr>
          <w:b/>
          <w:sz w:val="28"/>
          <w:lang w:val="uk-UA"/>
        </w:rPr>
        <w:t xml:space="preserve">  </w:t>
      </w:r>
    </w:p>
    <w:p w:rsidR="006C7BEB" w:rsidRDefault="00A81B91" w:rsidP="006C7BEB">
      <w:pPr>
        <w:spacing w:line="360" w:lineRule="auto"/>
        <w:ind w:firstLine="709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                           </w:t>
      </w:r>
      <w:r w:rsidR="00E624FB">
        <w:rPr>
          <w:b/>
          <w:sz w:val="28"/>
          <w:lang w:val="uk-UA"/>
        </w:rPr>
        <w:t>НАУКОВОМУ СТИЛІ</w:t>
      </w:r>
    </w:p>
    <w:p w:rsidR="00997F40" w:rsidRPr="00997F40" w:rsidRDefault="001F5801" w:rsidP="00997F40">
      <w:pPr>
        <w:spacing w:line="360" w:lineRule="auto"/>
        <w:ind w:firstLine="709"/>
        <w:jc w:val="both"/>
        <w:rPr>
          <w:sz w:val="28"/>
          <w:lang w:val="uk-UA"/>
        </w:rPr>
      </w:pPr>
      <w:r w:rsidRPr="001F5801">
        <w:rPr>
          <w:sz w:val="28"/>
          <w:lang w:val="uk-UA"/>
        </w:rPr>
        <w:t xml:space="preserve">Й. </w:t>
      </w:r>
      <w:proofErr w:type="spellStart"/>
      <w:r w:rsidRPr="001F5801">
        <w:rPr>
          <w:sz w:val="28"/>
          <w:lang w:val="uk-UA"/>
        </w:rPr>
        <w:t>Трір</w:t>
      </w:r>
      <w:proofErr w:type="spellEnd"/>
      <w:r w:rsidRPr="001F5801">
        <w:rPr>
          <w:sz w:val="28"/>
          <w:lang w:val="uk-UA"/>
        </w:rPr>
        <w:t xml:space="preserve"> підкреслює взаємопов‘язаність усіх членів </w:t>
      </w:r>
      <w:proofErr w:type="spellStart"/>
      <w:r w:rsidRPr="001F5801">
        <w:rPr>
          <w:sz w:val="28"/>
          <w:lang w:val="uk-UA"/>
        </w:rPr>
        <w:t>мовної</w:t>
      </w:r>
      <w:proofErr w:type="spellEnd"/>
      <w:r w:rsidRPr="001F5801">
        <w:rPr>
          <w:sz w:val="28"/>
          <w:lang w:val="uk-UA"/>
        </w:rPr>
        <w:t xml:space="preserve"> структури: “У мові ніщо не існує самостійно, незалежно. Оскільки утво</w:t>
      </w:r>
      <w:r w:rsidRPr="001F5801">
        <w:rPr>
          <w:sz w:val="28"/>
          <w:lang w:val="uk-UA"/>
        </w:rPr>
        <w:softHyphen/>
        <w:t>рен</w:t>
      </w:r>
      <w:r w:rsidRPr="001F5801">
        <w:rPr>
          <w:sz w:val="28"/>
          <w:lang w:val="uk-UA"/>
        </w:rPr>
        <w:softHyphen/>
        <w:t>ня структури мови складає основ</w:t>
      </w:r>
      <w:r w:rsidRPr="001F5801">
        <w:rPr>
          <w:sz w:val="28"/>
          <w:lang w:val="uk-UA"/>
        </w:rPr>
        <w:softHyphen/>
        <w:t>ний її зміст, її сутність, усі лінгвістичні компоненти є результатом процесу утворення (членування) цієї структури. Кінцеве значення кожного ком</w:t>
      </w:r>
      <w:r w:rsidRPr="001F5801">
        <w:rPr>
          <w:sz w:val="28"/>
          <w:lang w:val="uk-UA"/>
        </w:rPr>
        <w:softHyphen/>
        <w:t>поненту ви</w:t>
      </w:r>
      <w:r w:rsidRPr="001F5801">
        <w:rPr>
          <w:sz w:val="28"/>
          <w:lang w:val="uk-UA"/>
        </w:rPr>
        <w:softHyphen/>
        <w:t>зна</w:t>
      </w:r>
      <w:r w:rsidRPr="001F5801">
        <w:rPr>
          <w:sz w:val="28"/>
          <w:lang w:val="uk-UA"/>
        </w:rPr>
        <w:softHyphen/>
        <w:t>чається остаточно і тільки з його відношення та функції у межах всієї лінг</w:t>
      </w:r>
      <w:r w:rsidRPr="001F5801">
        <w:rPr>
          <w:sz w:val="28"/>
          <w:lang w:val="uk-UA"/>
        </w:rPr>
        <w:softHyphen/>
        <w:t>віс</w:t>
      </w:r>
      <w:r w:rsidRPr="001F5801">
        <w:rPr>
          <w:sz w:val="28"/>
          <w:lang w:val="uk-UA"/>
        </w:rPr>
        <w:softHyphen/>
        <w:t>тичної структури“ [</w:t>
      </w:r>
      <w:r>
        <w:rPr>
          <w:sz w:val="28"/>
          <w:lang w:val="uk-UA"/>
        </w:rPr>
        <w:t>1</w:t>
      </w:r>
      <w:r w:rsidRPr="001F5801">
        <w:rPr>
          <w:sz w:val="28"/>
          <w:lang w:val="uk-UA"/>
        </w:rPr>
        <w:t>, с. 25].</w:t>
      </w:r>
      <w:r>
        <w:rPr>
          <w:sz w:val="28"/>
          <w:lang w:val="uk-UA"/>
        </w:rPr>
        <w:t xml:space="preserve"> </w:t>
      </w:r>
      <w:r w:rsidR="00997F40" w:rsidRPr="00997F40">
        <w:rPr>
          <w:sz w:val="28"/>
          <w:lang w:val="uk-UA"/>
        </w:rPr>
        <w:t>Аналіз здатності слів поєднуватися та виявлення особ</w:t>
      </w:r>
      <w:r w:rsidR="00997F40" w:rsidRPr="00997F40">
        <w:rPr>
          <w:sz w:val="28"/>
          <w:lang w:val="uk-UA"/>
        </w:rPr>
        <w:softHyphen/>
        <w:t>ли</w:t>
      </w:r>
      <w:r w:rsidR="00997F40" w:rsidRPr="00997F40">
        <w:rPr>
          <w:sz w:val="28"/>
          <w:lang w:val="uk-UA"/>
        </w:rPr>
        <w:softHyphen/>
        <w:t>вос</w:t>
      </w:r>
      <w:r w:rsidR="00997F40" w:rsidRPr="00997F40">
        <w:rPr>
          <w:sz w:val="28"/>
          <w:lang w:val="uk-UA"/>
        </w:rPr>
        <w:softHyphen/>
        <w:t>тей їхньої спо</w:t>
      </w:r>
      <w:r w:rsidR="00997F40" w:rsidRPr="00997F40">
        <w:rPr>
          <w:sz w:val="28"/>
          <w:lang w:val="uk-UA"/>
        </w:rPr>
        <w:softHyphen/>
      </w:r>
      <w:r w:rsidR="00997F40" w:rsidRPr="00997F40">
        <w:rPr>
          <w:sz w:val="28"/>
          <w:lang w:val="uk-UA"/>
        </w:rPr>
        <w:softHyphen/>
      </w:r>
      <w:r w:rsidR="00997F40" w:rsidRPr="00997F40">
        <w:rPr>
          <w:sz w:val="28"/>
          <w:lang w:val="uk-UA"/>
        </w:rPr>
        <w:softHyphen/>
        <w:t>лу</w:t>
      </w:r>
      <w:r w:rsidR="00997F40" w:rsidRPr="00997F40">
        <w:rPr>
          <w:sz w:val="28"/>
          <w:lang w:val="uk-UA"/>
        </w:rPr>
        <w:softHyphen/>
        <w:t>чуваності</w:t>
      </w:r>
      <w:r w:rsidR="00997F40">
        <w:rPr>
          <w:sz w:val="28"/>
          <w:lang w:val="uk-UA"/>
        </w:rPr>
        <w:t xml:space="preserve"> залишається одним із </w:t>
      </w:r>
      <w:r w:rsidR="00997F40" w:rsidRPr="00997F40">
        <w:rPr>
          <w:sz w:val="28"/>
          <w:lang w:val="uk-UA"/>
        </w:rPr>
        <w:t>актуальних завдань сучасної мовознав</w:t>
      </w:r>
      <w:r w:rsidR="00997F40" w:rsidRPr="00997F40">
        <w:rPr>
          <w:sz w:val="28"/>
          <w:lang w:val="uk-UA"/>
        </w:rPr>
        <w:softHyphen/>
        <w:t>чої науки.</w:t>
      </w:r>
    </w:p>
    <w:p w:rsidR="00956815" w:rsidRPr="00956815" w:rsidRDefault="007B3E9B" w:rsidP="00956815">
      <w:pPr>
        <w:spacing w:line="360" w:lineRule="auto"/>
        <w:ind w:firstLine="709"/>
        <w:jc w:val="both"/>
        <w:rPr>
          <w:sz w:val="28"/>
          <w:lang w:val="uk-UA"/>
        </w:rPr>
      </w:pPr>
      <w:r w:rsidRPr="007B3E9B">
        <w:rPr>
          <w:sz w:val="28"/>
          <w:lang w:val="uk-UA"/>
        </w:rPr>
        <w:t xml:space="preserve">У лінгвістиці розрізняють три види сполучуваності: семантичну (на рівні підкласу слів); синтаксичну (на рівні класу слів) та лексичну (на рівні окремого слова) </w:t>
      </w:r>
      <w:r w:rsidR="00956815" w:rsidRPr="00956815">
        <w:rPr>
          <w:sz w:val="28"/>
          <w:lang w:val="uk-UA"/>
        </w:rPr>
        <w:t>)</w:t>
      </w:r>
      <w:r w:rsidR="001F5801">
        <w:rPr>
          <w:sz w:val="28"/>
          <w:lang w:val="uk-UA"/>
        </w:rPr>
        <w:t xml:space="preserve"> </w:t>
      </w:r>
      <w:r w:rsidR="001F5801" w:rsidRPr="001F5801">
        <w:rPr>
          <w:sz w:val="28"/>
          <w:lang w:val="uk-UA"/>
        </w:rPr>
        <w:t>[2</w:t>
      </w:r>
      <w:r w:rsidR="00956815" w:rsidRPr="00956815">
        <w:rPr>
          <w:sz w:val="28"/>
          <w:lang w:val="uk-UA"/>
        </w:rPr>
        <w:t>, 110</w:t>
      </w:r>
      <w:r w:rsidR="001F5801" w:rsidRPr="001F5801">
        <w:rPr>
          <w:sz w:val="28"/>
          <w:lang w:val="uk-UA"/>
        </w:rPr>
        <w:t>]</w:t>
      </w:r>
      <w:bookmarkStart w:id="0" w:name="_GoBack"/>
      <w:bookmarkEnd w:id="0"/>
      <w:r w:rsidR="00956815" w:rsidRPr="00956815">
        <w:rPr>
          <w:sz w:val="28"/>
          <w:lang w:val="uk-UA"/>
        </w:rPr>
        <w:t>.</w:t>
      </w:r>
    </w:p>
    <w:p w:rsidR="007B3E9B" w:rsidRDefault="00956815" w:rsidP="007B3E9B">
      <w:pPr>
        <w:spacing w:line="360" w:lineRule="auto"/>
        <w:ind w:firstLine="709"/>
        <w:jc w:val="both"/>
        <w:rPr>
          <w:sz w:val="28"/>
          <w:lang w:val="uk-UA"/>
        </w:rPr>
      </w:pPr>
      <w:r w:rsidRPr="00956815">
        <w:rPr>
          <w:sz w:val="28"/>
          <w:lang w:val="uk-UA"/>
        </w:rPr>
        <w:t xml:space="preserve"> </w:t>
      </w:r>
      <w:r w:rsidR="007B3E9B" w:rsidRPr="004A0952">
        <w:rPr>
          <w:b/>
          <w:sz w:val="28"/>
          <w:lang w:val="uk-UA"/>
        </w:rPr>
        <w:t>Об’єктом</w:t>
      </w:r>
      <w:r w:rsidR="007B3E9B" w:rsidRPr="007B3E9B">
        <w:rPr>
          <w:sz w:val="28"/>
          <w:lang w:val="uk-UA"/>
        </w:rPr>
        <w:t xml:space="preserve"> дослідження є </w:t>
      </w:r>
      <w:r w:rsidR="004A0952">
        <w:rPr>
          <w:sz w:val="28"/>
          <w:lang w:val="uk-UA"/>
        </w:rPr>
        <w:t xml:space="preserve">кількісні характеристики </w:t>
      </w:r>
      <w:r w:rsidR="007B3E9B" w:rsidRPr="007B3E9B">
        <w:rPr>
          <w:sz w:val="28"/>
          <w:lang w:val="uk-UA"/>
        </w:rPr>
        <w:t>сполучуван</w:t>
      </w:r>
      <w:r w:rsidR="007B3E9B">
        <w:rPr>
          <w:sz w:val="28"/>
          <w:lang w:val="uk-UA"/>
        </w:rPr>
        <w:t>о</w:t>
      </w:r>
      <w:r w:rsidR="007B3E9B" w:rsidRPr="007B3E9B">
        <w:rPr>
          <w:sz w:val="28"/>
          <w:lang w:val="uk-UA"/>
        </w:rPr>
        <w:t>ст</w:t>
      </w:r>
      <w:r w:rsidR="007B3E9B">
        <w:rPr>
          <w:sz w:val="28"/>
          <w:lang w:val="uk-UA"/>
        </w:rPr>
        <w:t>і</w:t>
      </w:r>
      <w:r w:rsidR="007B3E9B" w:rsidRPr="007B3E9B">
        <w:rPr>
          <w:sz w:val="28"/>
          <w:lang w:val="uk-UA"/>
        </w:rPr>
        <w:t xml:space="preserve"> прикметників з іменниками </w:t>
      </w:r>
      <w:r w:rsidR="007B3E9B">
        <w:rPr>
          <w:sz w:val="28"/>
          <w:lang w:val="uk-UA"/>
        </w:rPr>
        <w:t>на синтаксичному рівні</w:t>
      </w:r>
      <w:r w:rsidR="007B3E9B" w:rsidRPr="007B3E9B">
        <w:rPr>
          <w:sz w:val="28"/>
          <w:lang w:val="uk-UA"/>
        </w:rPr>
        <w:t xml:space="preserve">, </w:t>
      </w:r>
      <w:r w:rsidR="007B3E9B" w:rsidRPr="004A0952">
        <w:rPr>
          <w:b/>
          <w:sz w:val="28"/>
          <w:lang w:val="uk-UA"/>
        </w:rPr>
        <w:t>предметом</w:t>
      </w:r>
      <w:r w:rsidR="007B3E9B" w:rsidRPr="007B3E9B">
        <w:rPr>
          <w:sz w:val="28"/>
          <w:lang w:val="uk-UA"/>
        </w:rPr>
        <w:t xml:space="preserve"> дослідження – </w:t>
      </w:r>
      <w:r w:rsidR="004A0952" w:rsidRPr="004A0952">
        <w:rPr>
          <w:sz w:val="28"/>
          <w:lang w:val="uk-UA"/>
        </w:rPr>
        <w:t xml:space="preserve">широта сполучуваності прикметників з </w:t>
      </w:r>
      <w:r w:rsidR="004A0952">
        <w:rPr>
          <w:sz w:val="28"/>
          <w:lang w:val="uk-UA"/>
        </w:rPr>
        <w:t xml:space="preserve">ЛСГ </w:t>
      </w:r>
      <w:r w:rsidR="004A0952" w:rsidRPr="004A0952">
        <w:rPr>
          <w:sz w:val="28"/>
          <w:lang w:val="uk-UA"/>
        </w:rPr>
        <w:t>іменник</w:t>
      </w:r>
      <w:r w:rsidR="004A0952">
        <w:rPr>
          <w:sz w:val="28"/>
          <w:lang w:val="uk-UA"/>
        </w:rPr>
        <w:t>ів</w:t>
      </w:r>
      <w:r w:rsidR="007B3E9B" w:rsidRPr="007B3E9B">
        <w:rPr>
          <w:sz w:val="28"/>
          <w:lang w:val="uk-UA"/>
        </w:rPr>
        <w:t xml:space="preserve">. </w:t>
      </w:r>
      <w:r w:rsidR="007B3E9B" w:rsidRPr="004A0952">
        <w:rPr>
          <w:b/>
          <w:sz w:val="28"/>
          <w:lang w:val="uk-UA"/>
        </w:rPr>
        <w:t>Метою</w:t>
      </w:r>
      <w:r w:rsidR="007B3E9B" w:rsidRPr="007B3E9B">
        <w:rPr>
          <w:sz w:val="28"/>
          <w:lang w:val="uk-UA"/>
        </w:rPr>
        <w:t xml:space="preserve"> нашого дослідження є вивчення </w:t>
      </w:r>
      <w:r w:rsidR="004A0952" w:rsidRPr="004A0952">
        <w:rPr>
          <w:sz w:val="28"/>
          <w:lang w:val="uk-UA"/>
        </w:rPr>
        <w:t>широт</w:t>
      </w:r>
      <w:r w:rsidR="004A0952">
        <w:rPr>
          <w:sz w:val="28"/>
          <w:lang w:val="uk-UA"/>
        </w:rPr>
        <w:t>и</w:t>
      </w:r>
      <w:r w:rsidR="004A0952" w:rsidRPr="004A0952">
        <w:rPr>
          <w:sz w:val="28"/>
          <w:lang w:val="uk-UA"/>
        </w:rPr>
        <w:t xml:space="preserve"> сполучуваності</w:t>
      </w:r>
      <w:r w:rsidR="004A0952">
        <w:rPr>
          <w:sz w:val="28"/>
          <w:lang w:val="uk-UA"/>
        </w:rPr>
        <w:t xml:space="preserve"> на синтаксичному рівні</w:t>
      </w:r>
      <w:r w:rsidR="00A81B91" w:rsidRPr="00A81B91">
        <w:rPr>
          <w:sz w:val="28"/>
          <w:lang w:val="uk-UA"/>
        </w:rPr>
        <w:t xml:space="preserve"> у науковому стилі</w:t>
      </w:r>
      <w:r w:rsidR="007B3E9B" w:rsidRPr="007B3E9B">
        <w:rPr>
          <w:sz w:val="28"/>
          <w:lang w:val="uk-UA"/>
        </w:rPr>
        <w:t xml:space="preserve">. </w:t>
      </w:r>
    </w:p>
    <w:p w:rsidR="006A4DF6" w:rsidRPr="006A4DF6" w:rsidRDefault="006A4DF6" w:rsidP="006A4DF6">
      <w:pPr>
        <w:spacing w:line="360" w:lineRule="auto"/>
        <w:ind w:firstLine="709"/>
        <w:jc w:val="both"/>
        <w:rPr>
          <w:sz w:val="28"/>
          <w:lang w:val="uk-UA"/>
        </w:rPr>
      </w:pPr>
      <w:r w:rsidRPr="006A4DF6">
        <w:rPr>
          <w:sz w:val="28"/>
          <w:lang w:val="uk-UA"/>
        </w:rPr>
        <w:t>Широта сполучуваності – це кількість синтагматичних партнерів з якими сполучується одиниця мовлення.</w:t>
      </w:r>
    </w:p>
    <w:p w:rsidR="00A81B91" w:rsidRDefault="007B3E9B" w:rsidP="00A81B91">
      <w:pPr>
        <w:spacing w:line="360" w:lineRule="auto"/>
        <w:ind w:firstLine="600"/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ab/>
      </w:r>
      <w:r w:rsidR="00A81B91" w:rsidRPr="00C34597">
        <w:rPr>
          <w:spacing w:val="-3"/>
          <w:sz w:val="28"/>
          <w:szCs w:val="28"/>
          <w:lang w:val="uk-UA"/>
        </w:rPr>
        <w:t>Матеріалом слугувала суцільна вибірка з наукових статей із різних галузей при</w:t>
      </w:r>
      <w:r w:rsidR="00A81B91" w:rsidRPr="00C34597">
        <w:rPr>
          <w:spacing w:val="-3"/>
          <w:sz w:val="28"/>
          <w:szCs w:val="28"/>
          <w:lang w:val="uk-UA"/>
        </w:rPr>
        <w:softHyphen/>
        <w:t>родничих і гуманітарних дисциплін: фі</w:t>
      </w:r>
      <w:r w:rsidR="00A81B91" w:rsidRPr="00C34597">
        <w:rPr>
          <w:spacing w:val="-3"/>
          <w:sz w:val="28"/>
          <w:szCs w:val="28"/>
          <w:lang w:val="uk-UA"/>
        </w:rPr>
        <w:softHyphen/>
        <w:t>зики, астрономії, хімії, біо</w:t>
      </w:r>
      <w:r w:rsidR="00A81B91" w:rsidRPr="00C34597">
        <w:rPr>
          <w:spacing w:val="-3"/>
          <w:sz w:val="28"/>
          <w:szCs w:val="28"/>
          <w:lang w:val="uk-UA"/>
        </w:rPr>
        <w:softHyphen/>
        <w:t>логії, мате</w:t>
      </w:r>
      <w:r w:rsidR="00A81B91" w:rsidRPr="00C34597">
        <w:rPr>
          <w:spacing w:val="-3"/>
          <w:sz w:val="28"/>
          <w:szCs w:val="28"/>
          <w:lang w:val="uk-UA"/>
        </w:rPr>
        <w:softHyphen/>
        <w:t>ма</w:t>
      </w:r>
      <w:r w:rsidR="00A81B91" w:rsidRPr="00C34597">
        <w:rPr>
          <w:spacing w:val="-3"/>
          <w:sz w:val="28"/>
          <w:szCs w:val="28"/>
          <w:lang w:val="uk-UA"/>
        </w:rPr>
        <w:softHyphen/>
        <w:t>тики, юриспру</w:t>
      </w:r>
      <w:r w:rsidR="00A81B91" w:rsidRPr="00C34597">
        <w:rPr>
          <w:spacing w:val="-3"/>
          <w:sz w:val="28"/>
          <w:szCs w:val="28"/>
          <w:lang w:val="uk-UA"/>
        </w:rPr>
        <w:softHyphen/>
        <w:t>денції, соціології, лінг</w:t>
      </w:r>
      <w:r w:rsidR="00A81B91" w:rsidRPr="00C34597">
        <w:rPr>
          <w:spacing w:val="-3"/>
          <w:sz w:val="28"/>
          <w:szCs w:val="28"/>
          <w:lang w:val="uk-UA"/>
        </w:rPr>
        <w:softHyphen/>
        <w:t>віс</w:t>
      </w:r>
      <w:r w:rsidR="00A81B91" w:rsidRPr="00C34597">
        <w:rPr>
          <w:spacing w:val="-3"/>
          <w:sz w:val="28"/>
          <w:szCs w:val="28"/>
          <w:lang w:val="uk-UA"/>
        </w:rPr>
        <w:softHyphen/>
      </w:r>
      <w:r w:rsidR="00A81B91" w:rsidRPr="00C34597">
        <w:rPr>
          <w:spacing w:val="-3"/>
          <w:sz w:val="28"/>
          <w:szCs w:val="28"/>
          <w:lang w:val="uk-UA"/>
        </w:rPr>
        <w:softHyphen/>
        <w:t>тики, літерату</w:t>
      </w:r>
      <w:r w:rsidR="00A81B91" w:rsidRPr="00C34597">
        <w:rPr>
          <w:spacing w:val="-3"/>
          <w:sz w:val="28"/>
          <w:szCs w:val="28"/>
          <w:lang w:val="uk-UA"/>
        </w:rPr>
        <w:softHyphen/>
        <w:t>ро</w:t>
      </w:r>
      <w:r w:rsidR="00A81B91" w:rsidRPr="00C34597">
        <w:rPr>
          <w:spacing w:val="-3"/>
          <w:sz w:val="28"/>
          <w:szCs w:val="28"/>
          <w:lang w:val="uk-UA"/>
        </w:rPr>
        <w:softHyphen/>
        <w:t xml:space="preserve">знавства </w:t>
      </w:r>
      <w:r w:rsidR="00A81B91" w:rsidRPr="00C34597">
        <w:rPr>
          <w:sz w:val="28"/>
          <w:szCs w:val="28"/>
          <w:lang w:val="uk-UA"/>
        </w:rPr>
        <w:t>з англійсь</w:t>
      </w:r>
      <w:r w:rsidR="00A81B91" w:rsidRPr="00C34597">
        <w:rPr>
          <w:sz w:val="28"/>
          <w:szCs w:val="28"/>
          <w:lang w:val="uk-UA"/>
        </w:rPr>
        <w:softHyphen/>
        <w:t>ких та американських наукових журна</w:t>
      </w:r>
      <w:r w:rsidR="00A81B91" w:rsidRPr="00C34597">
        <w:rPr>
          <w:sz w:val="28"/>
          <w:szCs w:val="28"/>
          <w:lang w:val="uk-UA"/>
        </w:rPr>
        <w:softHyphen/>
        <w:t xml:space="preserve">лів: </w:t>
      </w:r>
      <w:r w:rsidR="00A81B91" w:rsidRPr="00C34597">
        <w:rPr>
          <w:sz w:val="28"/>
          <w:szCs w:val="28"/>
          <w:lang w:val="en-US"/>
        </w:rPr>
        <w:t>T</w:t>
      </w:r>
      <w:proofErr w:type="spellStart"/>
      <w:r w:rsidR="00A81B91" w:rsidRPr="00C34597">
        <w:rPr>
          <w:sz w:val="28"/>
          <w:szCs w:val="28"/>
          <w:lang w:val="uk-UA"/>
        </w:rPr>
        <w:t>he</w:t>
      </w:r>
      <w:proofErr w:type="spellEnd"/>
      <w:r w:rsidR="00A81B91" w:rsidRPr="00C34597">
        <w:rPr>
          <w:sz w:val="28"/>
          <w:szCs w:val="28"/>
          <w:lang w:val="uk-UA"/>
        </w:rPr>
        <w:t xml:space="preserve"> SPIE </w:t>
      </w:r>
      <w:proofErr w:type="spellStart"/>
      <w:r w:rsidR="00A81B91" w:rsidRPr="00C34597">
        <w:rPr>
          <w:sz w:val="28"/>
          <w:szCs w:val="28"/>
          <w:lang w:val="uk-UA"/>
        </w:rPr>
        <w:t>Magazine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of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Photonics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r w:rsidR="00A81B91" w:rsidRPr="00C34597">
        <w:rPr>
          <w:sz w:val="28"/>
          <w:szCs w:val="28"/>
          <w:lang w:val="uk-UA"/>
        </w:rPr>
        <w:lastRenderedPageBreak/>
        <w:t xml:space="preserve">Technologies </w:t>
      </w:r>
      <w:proofErr w:type="spellStart"/>
      <w:r w:rsidR="00A81B91" w:rsidRPr="00C34597">
        <w:rPr>
          <w:sz w:val="28"/>
          <w:szCs w:val="28"/>
          <w:lang w:val="uk-UA"/>
        </w:rPr>
        <w:t>and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Application</w:t>
      </w:r>
      <w:proofErr w:type="spellEnd"/>
      <w:r w:rsidR="00A81B91" w:rsidRPr="00C34597">
        <w:rPr>
          <w:sz w:val="28"/>
          <w:szCs w:val="28"/>
          <w:lang w:val="uk-UA"/>
        </w:rPr>
        <w:t>,</w:t>
      </w:r>
      <w:r w:rsidR="00A81B91" w:rsidRPr="00C34597">
        <w:rPr>
          <w:rStyle w:val="HTML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Scientific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American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Atmospheric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Chemistry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and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Physics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American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Spec</w:t>
      </w:r>
      <w:r w:rsidR="00A81B91" w:rsidRPr="00C34597">
        <w:rPr>
          <w:sz w:val="28"/>
          <w:szCs w:val="28"/>
          <w:lang w:val="uk-UA"/>
        </w:rPr>
        <w:softHyphen/>
        <w:t>tator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The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Journal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of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the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American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Mathematical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napToGrid w:val="0"/>
          <w:sz w:val="28"/>
          <w:szCs w:val="28"/>
          <w:lang w:val="uk-UA"/>
        </w:rPr>
        <w:t>Society</w:t>
      </w:r>
      <w:proofErr w:type="spellEnd"/>
      <w:r w:rsidR="00A81B91" w:rsidRPr="00C34597">
        <w:rPr>
          <w:snapToGrid w:val="0"/>
          <w:sz w:val="28"/>
          <w:szCs w:val="28"/>
          <w:lang w:val="uk-UA"/>
        </w:rPr>
        <w:t>,</w:t>
      </w:r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Independent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Review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Federal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Communications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Law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Journal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Law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Journal</w:t>
      </w:r>
      <w:proofErr w:type="spellEnd"/>
      <w:r w:rsidR="00A81B91" w:rsidRPr="00C34597">
        <w:rPr>
          <w:sz w:val="28"/>
          <w:szCs w:val="28"/>
          <w:lang w:val="uk-UA"/>
        </w:rPr>
        <w:t xml:space="preserve"> UK,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Journal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of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English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Linguis</w:t>
      </w:r>
      <w:r w:rsidR="00A81B91" w:rsidRPr="00C34597">
        <w:rPr>
          <w:sz w:val="28"/>
          <w:szCs w:val="28"/>
          <w:lang w:val="uk-UA"/>
        </w:rPr>
        <w:softHyphen/>
        <w:t>tics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Phonetica</w:t>
      </w:r>
      <w:proofErr w:type="spellEnd"/>
      <w:r w:rsidR="00A81B91" w:rsidRPr="00C34597">
        <w:rPr>
          <w:sz w:val="28"/>
          <w:szCs w:val="28"/>
          <w:lang w:val="uk-UA"/>
        </w:rPr>
        <w:t xml:space="preserve">, </w:t>
      </w:r>
      <w:proofErr w:type="spellStart"/>
      <w:r w:rsidR="00A81B91" w:rsidRPr="00C34597">
        <w:rPr>
          <w:sz w:val="28"/>
          <w:szCs w:val="28"/>
          <w:lang w:val="uk-UA"/>
        </w:rPr>
        <w:t>The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Sign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Systems</w:t>
      </w:r>
      <w:proofErr w:type="spellEnd"/>
      <w:r w:rsidR="00A81B91" w:rsidRPr="00C34597">
        <w:rPr>
          <w:sz w:val="28"/>
          <w:szCs w:val="28"/>
          <w:lang w:val="uk-UA"/>
        </w:rPr>
        <w:t xml:space="preserve"> </w:t>
      </w:r>
      <w:proofErr w:type="spellStart"/>
      <w:r w:rsidR="00A81B91" w:rsidRPr="00C34597">
        <w:rPr>
          <w:sz w:val="28"/>
          <w:szCs w:val="28"/>
          <w:lang w:val="uk-UA"/>
        </w:rPr>
        <w:t>Studies</w:t>
      </w:r>
      <w:proofErr w:type="spellEnd"/>
      <w:r w:rsidR="00A81B91" w:rsidRPr="00C34597">
        <w:rPr>
          <w:sz w:val="28"/>
          <w:szCs w:val="28"/>
          <w:lang w:val="uk-UA"/>
        </w:rPr>
        <w:t xml:space="preserve">. </w:t>
      </w:r>
      <w:r w:rsidR="00A81B91" w:rsidRPr="00C34597">
        <w:rPr>
          <w:spacing w:val="-3"/>
          <w:sz w:val="28"/>
          <w:szCs w:val="28"/>
          <w:lang w:val="uk-UA"/>
        </w:rPr>
        <w:t xml:space="preserve">загальним обсягом 10100 </w:t>
      </w:r>
      <w:r w:rsidR="00A81B91" w:rsidRPr="00C34597">
        <w:rPr>
          <w:sz w:val="28"/>
          <w:szCs w:val="28"/>
          <w:lang w:val="uk-UA"/>
        </w:rPr>
        <w:t>словоспо</w:t>
      </w:r>
      <w:r w:rsidR="00A81B91" w:rsidRPr="00C34597">
        <w:rPr>
          <w:sz w:val="28"/>
          <w:szCs w:val="28"/>
          <w:lang w:val="uk-UA"/>
        </w:rPr>
        <w:softHyphen/>
        <w:t>лу</w:t>
      </w:r>
      <w:r w:rsidR="00A81B91" w:rsidRPr="00C34597">
        <w:rPr>
          <w:sz w:val="28"/>
          <w:szCs w:val="28"/>
          <w:lang w:val="uk-UA"/>
        </w:rPr>
        <w:softHyphen/>
        <w:t>чень прикметників з іменни</w:t>
      </w:r>
      <w:r w:rsidR="00A81B91" w:rsidRPr="00C34597">
        <w:rPr>
          <w:sz w:val="28"/>
          <w:szCs w:val="28"/>
          <w:lang w:val="uk-UA"/>
        </w:rPr>
        <w:softHyphen/>
        <w:t>ками.</w:t>
      </w:r>
    </w:p>
    <w:p w:rsidR="00D6683D" w:rsidRPr="00D6683D" w:rsidRDefault="00D6683D" w:rsidP="00D6683D">
      <w:pPr>
        <w:spacing w:after="200" w:line="276" w:lineRule="auto"/>
        <w:rPr>
          <w:b/>
          <w:sz w:val="28"/>
          <w:szCs w:val="28"/>
          <w:lang w:val="uk-UA"/>
        </w:rPr>
      </w:pPr>
      <w:r w:rsidRPr="00D6683D">
        <w:rPr>
          <w:b/>
          <w:sz w:val="28"/>
          <w:szCs w:val="28"/>
          <w:lang w:val="uk-UA"/>
        </w:rPr>
        <w:t>Широта вживання окремих прикметників у науковому стилі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62"/>
        <w:gridCol w:w="1285"/>
        <w:gridCol w:w="1282"/>
        <w:gridCol w:w="1937"/>
        <w:gridCol w:w="1301"/>
        <w:gridCol w:w="1278"/>
      </w:tblGrid>
      <w:tr w:rsidR="00D6683D" w:rsidRPr="00D6683D" w:rsidTr="006A4DF6">
        <w:tc>
          <w:tcPr>
            <w:tcW w:w="1907" w:type="dxa"/>
          </w:tcPr>
          <w:p w:rsidR="00D6683D" w:rsidRPr="00D6683D" w:rsidRDefault="006A4DF6" w:rsidP="00D6683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ab/>
            </w:r>
            <w:proofErr w:type="spellStart"/>
            <w:r w:rsidR="00D6683D" w:rsidRPr="00D6683D">
              <w:rPr>
                <w:sz w:val="28"/>
                <w:szCs w:val="28"/>
                <w:lang w:val="uk-UA"/>
              </w:rPr>
              <w:t>Прикметнк</w:t>
            </w:r>
            <w:proofErr w:type="spellEnd"/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uk-UA"/>
              </w:rPr>
              <w:t>частота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uk-UA"/>
              </w:rPr>
              <w:t>широта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proofErr w:type="spellStart"/>
            <w:r w:rsidRPr="00D6683D">
              <w:rPr>
                <w:sz w:val="28"/>
                <w:szCs w:val="28"/>
                <w:lang w:val="uk-UA"/>
              </w:rPr>
              <w:t>Прикметнк</w:t>
            </w:r>
            <w:proofErr w:type="spellEnd"/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uk-UA"/>
              </w:rPr>
              <w:t>частота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uk-UA"/>
              </w:rPr>
              <w:t>широта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1.different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141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0,45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16.southern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54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en-US"/>
              </w:rPr>
              <w:t>0,045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2.large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114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17.scientific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3.mean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126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18.polar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0,18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4.chemical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111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0,27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19.important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0,18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5.new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108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 xml:space="preserve">0,36 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20.recent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0,27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6.scalar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99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en-US"/>
              </w:rPr>
              <w:t>0,045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21.modern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0,36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7.basic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96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22.dynamical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42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0,14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8.normal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90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0,18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23. public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48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9.northern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84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0,14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24.temporal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48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0,14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10.small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84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0,4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25.good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28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0,27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11.similar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54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26.wide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39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0,18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12.high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96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0,23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27.current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36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0,18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13.big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63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  <w:lang w:val="en-US"/>
              </w:rPr>
              <w:t>0,045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28.systematic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21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0,09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14.significant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60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0,32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29.annual</w:t>
            </w:r>
          </w:p>
        </w:tc>
        <w:tc>
          <w:tcPr>
            <w:tcW w:w="1375" w:type="dxa"/>
          </w:tcPr>
          <w:p w:rsidR="00D6683D" w:rsidRPr="00D6683D" w:rsidRDefault="00D6683D" w:rsidP="00D6683D">
            <w:pPr>
              <w:ind w:right="57"/>
              <w:jc w:val="both"/>
              <w:rPr>
                <w:sz w:val="28"/>
                <w:szCs w:val="28"/>
              </w:rPr>
            </w:pPr>
            <w:r w:rsidRPr="00D6683D">
              <w:rPr>
                <w:sz w:val="28"/>
                <w:szCs w:val="28"/>
              </w:rPr>
              <w:t>18</w:t>
            </w: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0,09</w:t>
            </w:r>
          </w:p>
        </w:tc>
      </w:tr>
      <w:tr w:rsidR="00D6683D" w:rsidRPr="00D6683D" w:rsidTr="006A4DF6">
        <w:tc>
          <w:tcPr>
            <w:tcW w:w="1907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15.long-term</w:t>
            </w:r>
          </w:p>
        </w:tc>
        <w:tc>
          <w:tcPr>
            <w:tcW w:w="1354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uk-UA"/>
              </w:rPr>
            </w:pPr>
            <w:r w:rsidRPr="00D6683D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1351" w:type="dxa"/>
          </w:tcPr>
          <w:p w:rsidR="00D6683D" w:rsidRPr="00D6683D" w:rsidRDefault="00D6683D" w:rsidP="00D6683D">
            <w:pPr>
              <w:rPr>
                <w:sz w:val="28"/>
                <w:szCs w:val="28"/>
                <w:lang w:val="en-US"/>
              </w:rPr>
            </w:pPr>
            <w:r w:rsidRPr="00D6683D">
              <w:rPr>
                <w:sz w:val="28"/>
                <w:szCs w:val="28"/>
                <w:lang w:val="en-US"/>
              </w:rPr>
              <w:t>0,09</w:t>
            </w:r>
          </w:p>
        </w:tc>
        <w:tc>
          <w:tcPr>
            <w:tcW w:w="2013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</w:tcPr>
          <w:p w:rsidR="00D6683D" w:rsidRPr="00D6683D" w:rsidRDefault="00D6683D" w:rsidP="00D6683D">
            <w:pPr>
              <w:rPr>
                <w:sz w:val="28"/>
                <w:szCs w:val="28"/>
              </w:rPr>
            </w:pPr>
          </w:p>
        </w:tc>
      </w:tr>
    </w:tbl>
    <w:p w:rsidR="00D6683D" w:rsidRPr="00D6683D" w:rsidRDefault="00D6683D" w:rsidP="00D6683D">
      <w:pPr>
        <w:spacing w:after="200" w:line="276" w:lineRule="auto"/>
      </w:pPr>
    </w:p>
    <w:p w:rsidR="00D6683D" w:rsidRDefault="006C7BEB" w:rsidP="006C7BEB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Можна зазначити, що жоден прикметник не має широти сполучуваності, яка б дорівнювала 1. Найчастотніший прикметник </w:t>
      </w:r>
      <w:r w:rsidRPr="0014679F">
        <w:rPr>
          <w:i/>
          <w:sz w:val="28"/>
          <w:lang w:val="en-US"/>
        </w:rPr>
        <w:t>different</w:t>
      </w:r>
      <w:r>
        <w:rPr>
          <w:sz w:val="28"/>
          <w:lang w:val="uk-UA"/>
        </w:rPr>
        <w:t xml:space="preserve"> має найбільший діапазон синтагматичних </w:t>
      </w:r>
      <w:proofErr w:type="spellStart"/>
      <w:r>
        <w:rPr>
          <w:sz w:val="28"/>
          <w:lang w:val="uk-UA"/>
        </w:rPr>
        <w:t>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>язків</w:t>
      </w:r>
      <w:proofErr w:type="spellEnd"/>
      <w:r>
        <w:rPr>
          <w:sz w:val="28"/>
          <w:lang w:val="uk-UA"/>
        </w:rPr>
        <w:t xml:space="preserve"> - 10 з широтою 0,45. Хоча такий показник широти в цілому є середнім, він є найвищим у науковому стилі. Середній показник широти виявлено у </w:t>
      </w:r>
      <w:proofErr w:type="spellStart"/>
      <w:r w:rsidRPr="005F7371">
        <w:rPr>
          <w:sz w:val="28"/>
        </w:rPr>
        <w:t>прикметника</w:t>
      </w:r>
      <w:proofErr w:type="spellEnd"/>
      <w:r>
        <w:rPr>
          <w:sz w:val="28"/>
          <w:lang w:val="uk-UA"/>
        </w:rPr>
        <w:t xml:space="preserve"> </w:t>
      </w:r>
      <w:r w:rsidRPr="0014679F">
        <w:rPr>
          <w:i/>
          <w:sz w:val="28"/>
          <w:lang w:val="en-US"/>
        </w:rPr>
        <w:t>small</w:t>
      </w:r>
      <w:r>
        <w:rPr>
          <w:sz w:val="28"/>
          <w:lang w:val="uk-UA"/>
        </w:rPr>
        <w:t xml:space="preserve"> з 9 синтагматичними 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 xml:space="preserve">язками та широтою 0,4. </w:t>
      </w:r>
      <w:r>
        <w:rPr>
          <w:sz w:val="28"/>
          <w:lang w:val="en-US"/>
        </w:rPr>
        <w:t>S</w:t>
      </w:r>
      <w:r w:rsidRPr="0014679F">
        <w:rPr>
          <w:i/>
          <w:sz w:val="28"/>
          <w:lang w:val="en-US"/>
        </w:rPr>
        <w:t>mall</w:t>
      </w:r>
      <w:r w:rsidRPr="00F92B73">
        <w:rPr>
          <w:sz w:val="28"/>
        </w:rPr>
        <w:t xml:space="preserve"> </w:t>
      </w:r>
      <w:r>
        <w:rPr>
          <w:sz w:val="28"/>
          <w:lang w:val="uk-UA"/>
        </w:rPr>
        <w:t xml:space="preserve">за частотою вживання ділить 9 місце у </w:t>
      </w:r>
      <w:proofErr w:type="spellStart"/>
      <w:r>
        <w:rPr>
          <w:sz w:val="28"/>
          <w:lang w:val="uk-UA"/>
        </w:rPr>
        <w:t>ранжированому</w:t>
      </w:r>
      <w:proofErr w:type="spellEnd"/>
      <w:r>
        <w:rPr>
          <w:sz w:val="28"/>
          <w:lang w:val="uk-UA"/>
        </w:rPr>
        <w:t xml:space="preserve"> ряді разом з </w:t>
      </w:r>
      <w:r w:rsidRPr="00F92B73">
        <w:rPr>
          <w:i/>
          <w:sz w:val="28"/>
          <w:lang w:val="en-US"/>
        </w:rPr>
        <w:t>Northern</w:t>
      </w:r>
      <w:r>
        <w:rPr>
          <w:sz w:val="28"/>
          <w:lang w:val="uk-UA"/>
        </w:rPr>
        <w:t>, у якого широта 0,1</w:t>
      </w:r>
      <w:r w:rsidRPr="00D807AB">
        <w:rPr>
          <w:sz w:val="28"/>
        </w:rPr>
        <w:t>4</w:t>
      </w:r>
      <w:r>
        <w:rPr>
          <w:sz w:val="28"/>
          <w:lang w:val="uk-UA"/>
        </w:rPr>
        <w:t xml:space="preserve">.  У даному випадку причиною відмінності широти між цими двома прикметниками є окрім наукового стилю, лінгвістичні причини, позамовні фактори, які звужують набір контекстуальних партнерів у </w:t>
      </w:r>
      <w:r w:rsidRPr="00F92B73">
        <w:rPr>
          <w:i/>
          <w:sz w:val="28"/>
          <w:lang w:val="en-US"/>
        </w:rPr>
        <w:t>Northern</w:t>
      </w:r>
      <w:r>
        <w:rPr>
          <w:i/>
          <w:sz w:val="28"/>
          <w:lang w:val="uk-UA"/>
        </w:rPr>
        <w:t xml:space="preserve">. </w:t>
      </w:r>
      <w:r>
        <w:rPr>
          <w:sz w:val="28"/>
          <w:lang w:val="uk-UA"/>
        </w:rPr>
        <w:t>Зазнач</w:t>
      </w:r>
      <w:r w:rsidRPr="00FF0D30">
        <w:rPr>
          <w:sz w:val="28"/>
          <w:lang w:val="uk-UA"/>
        </w:rPr>
        <w:t>и</w:t>
      </w:r>
      <w:r>
        <w:rPr>
          <w:sz w:val="28"/>
          <w:lang w:val="uk-UA"/>
        </w:rPr>
        <w:t xml:space="preserve">мо, що </w:t>
      </w:r>
      <w:r w:rsidRPr="00F92B73">
        <w:rPr>
          <w:i/>
          <w:sz w:val="28"/>
          <w:lang w:val="en-US"/>
        </w:rPr>
        <w:t>Northern</w:t>
      </w:r>
      <w:r>
        <w:rPr>
          <w:sz w:val="28"/>
          <w:lang w:val="uk-UA"/>
        </w:rPr>
        <w:t xml:space="preserve"> має досить високий показник частоти вживання. Середня широта виявлена також </w:t>
      </w:r>
      <w:r>
        <w:rPr>
          <w:sz w:val="28"/>
          <w:lang w:val="uk-UA"/>
        </w:rPr>
        <w:lastRenderedPageBreak/>
        <w:t xml:space="preserve">у прикметників </w:t>
      </w:r>
      <w:r>
        <w:rPr>
          <w:i/>
          <w:sz w:val="28"/>
          <w:lang w:val="en-US"/>
        </w:rPr>
        <w:t>new</w:t>
      </w:r>
      <w:r w:rsidRPr="00FF0D30">
        <w:rPr>
          <w:sz w:val="28"/>
          <w:lang w:val="uk-UA"/>
        </w:rPr>
        <w:t xml:space="preserve"> </w:t>
      </w:r>
      <w:r>
        <w:rPr>
          <w:sz w:val="28"/>
          <w:lang w:val="uk-UA"/>
        </w:rPr>
        <w:t>та</w:t>
      </w:r>
      <w:r w:rsidRPr="00FF0D30"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modern</w:t>
      </w:r>
      <w:r>
        <w:rPr>
          <w:sz w:val="28"/>
          <w:lang w:val="uk-UA"/>
        </w:rPr>
        <w:t xml:space="preserve"> з 8 синтагматичними  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 xml:space="preserve">язками та широтою 0,36, при чому частота вживання суттєво різниться для </w:t>
      </w:r>
      <w:r>
        <w:rPr>
          <w:i/>
          <w:sz w:val="28"/>
          <w:lang w:val="en-US"/>
        </w:rPr>
        <w:t>new</w:t>
      </w:r>
      <w:r w:rsidRPr="00FE2970">
        <w:rPr>
          <w:sz w:val="28"/>
        </w:rPr>
        <w:t xml:space="preserve"> </w:t>
      </w:r>
      <w:r>
        <w:rPr>
          <w:sz w:val="28"/>
          <w:lang w:val="uk-UA"/>
        </w:rPr>
        <w:t>(108) та</w:t>
      </w:r>
      <w:r w:rsidRPr="00FE2970">
        <w:rPr>
          <w:i/>
          <w:sz w:val="28"/>
        </w:rPr>
        <w:t xml:space="preserve"> </w:t>
      </w:r>
      <w:r>
        <w:rPr>
          <w:i/>
          <w:sz w:val="28"/>
          <w:lang w:val="en-US"/>
        </w:rPr>
        <w:t>modern</w:t>
      </w:r>
      <w:r>
        <w:rPr>
          <w:i/>
          <w:sz w:val="28"/>
          <w:lang w:val="uk-UA"/>
        </w:rPr>
        <w:t xml:space="preserve"> </w:t>
      </w:r>
      <w:r>
        <w:rPr>
          <w:sz w:val="28"/>
          <w:lang w:val="uk-UA"/>
        </w:rPr>
        <w:t>(</w:t>
      </w:r>
      <w:r w:rsidRPr="00FE2970">
        <w:rPr>
          <w:sz w:val="28"/>
          <w:lang w:val="uk-UA"/>
        </w:rPr>
        <w:t>48</w:t>
      </w:r>
      <w:r>
        <w:rPr>
          <w:sz w:val="28"/>
          <w:lang w:val="uk-UA"/>
        </w:rPr>
        <w:t xml:space="preserve">). Тобто частота не має прямої залежності від широти, а коло синтагматичних </w:t>
      </w:r>
      <w:proofErr w:type="spellStart"/>
      <w:r>
        <w:rPr>
          <w:sz w:val="28"/>
          <w:lang w:val="uk-UA"/>
        </w:rPr>
        <w:t>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>язків</w:t>
      </w:r>
      <w:proofErr w:type="spellEnd"/>
      <w:r>
        <w:rPr>
          <w:sz w:val="28"/>
          <w:lang w:val="uk-UA"/>
        </w:rPr>
        <w:t xml:space="preserve"> обумовлене як лінгвістичними факторами, так і науковим стилем. Цікавий факт відмічений для прикметника </w:t>
      </w:r>
      <w:r>
        <w:rPr>
          <w:i/>
          <w:sz w:val="28"/>
          <w:lang w:val="en-US"/>
        </w:rPr>
        <w:t>scalar</w:t>
      </w:r>
      <w:r w:rsidRPr="00A95EBB">
        <w:rPr>
          <w:sz w:val="28"/>
        </w:rPr>
        <w:t xml:space="preserve"> </w:t>
      </w:r>
      <w:r>
        <w:rPr>
          <w:sz w:val="28"/>
          <w:lang w:val="uk-UA"/>
        </w:rPr>
        <w:t xml:space="preserve">з високим показником частоти, для </w:t>
      </w:r>
      <w:r w:rsidRPr="00A95EBB">
        <w:rPr>
          <w:i/>
          <w:sz w:val="28"/>
          <w:lang w:val="en-US"/>
        </w:rPr>
        <w:t>big</w:t>
      </w:r>
      <w:r w:rsidRPr="00A95EBB">
        <w:rPr>
          <w:i/>
          <w:sz w:val="28"/>
        </w:rPr>
        <w:t xml:space="preserve">, </w:t>
      </w:r>
      <w:r w:rsidRPr="00A95EBB">
        <w:rPr>
          <w:i/>
          <w:sz w:val="28"/>
          <w:lang w:val="en-US"/>
        </w:rPr>
        <w:t>Southern</w:t>
      </w:r>
      <w:r w:rsidRPr="00A95EBB">
        <w:rPr>
          <w:sz w:val="28"/>
        </w:rPr>
        <w:t xml:space="preserve"> – </w:t>
      </w:r>
      <w:r>
        <w:rPr>
          <w:sz w:val="28"/>
          <w:lang w:val="uk-UA"/>
        </w:rPr>
        <w:t>з середньою частотою вживання. Всі ці три прикметника об</w:t>
      </w:r>
      <w:r w:rsidRPr="00A95EBB">
        <w:rPr>
          <w:sz w:val="28"/>
        </w:rPr>
        <w:t>’</w:t>
      </w:r>
      <w:proofErr w:type="spellStart"/>
      <w:r>
        <w:rPr>
          <w:sz w:val="28"/>
          <w:lang w:val="uk-UA"/>
        </w:rPr>
        <w:t>єднує</w:t>
      </w:r>
      <w:proofErr w:type="spellEnd"/>
      <w:r>
        <w:rPr>
          <w:sz w:val="28"/>
          <w:lang w:val="uk-UA"/>
        </w:rPr>
        <w:t xml:space="preserve"> те, що у кожного був зафіксований тільки 1 контекстуальний партнер. Детальніше цей випадок буде розглянутий нами при дослідженні статистично значущих </w:t>
      </w:r>
      <w:proofErr w:type="spellStart"/>
      <w:r>
        <w:rPr>
          <w:sz w:val="28"/>
          <w:lang w:val="uk-UA"/>
        </w:rPr>
        <w:t>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>язків</w:t>
      </w:r>
      <w:proofErr w:type="spellEnd"/>
      <w:r>
        <w:rPr>
          <w:sz w:val="28"/>
          <w:lang w:val="uk-UA"/>
        </w:rPr>
        <w:t xml:space="preserve"> та міри цих </w:t>
      </w:r>
      <w:proofErr w:type="spellStart"/>
      <w:r>
        <w:rPr>
          <w:sz w:val="28"/>
          <w:lang w:val="uk-UA"/>
        </w:rPr>
        <w:t>зв</w:t>
      </w:r>
      <w:r w:rsidRPr="0014679F">
        <w:rPr>
          <w:sz w:val="28"/>
          <w:lang w:val="uk-UA"/>
        </w:rPr>
        <w:t>’</w:t>
      </w:r>
      <w:r>
        <w:rPr>
          <w:sz w:val="28"/>
          <w:lang w:val="uk-UA"/>
        </w:rPr>
        <w:t>язків</w:t>
      </w:r>
      <w:proofErr w:type="spellEnd"/>
      <w:r>
        <w:rPr>
          <w:sz w:val="28"/>
          <w:lang w:val="uk-UA"/>
        </w:rPr>
        <w:t xml:space="preserve">. </w:t>
      </w:r>
    </w:p>
    <w:p w:rsidR="006C7BEB" w:rsidRDefault="006C7BEB" w:rsidP="006C7BEB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У решти прикметників відмічаються досить низькі показники широти </w:t>
      </w:r>
      <w:proofErr w:type="spellStart"/>
      <w:r>
        <w:rPr>
          <w:sz w:val="28"/>
          <w:lang w:val="uk-UA"/>
        </w:rPr>
        <w:t>напротивагу</w:t>
      </w:r>
      <w:proofErr w:type="spellEnd"/>
      <w:r>
        <w:rPr>
          <w:sz w:val="28"/>
          <w:lang w:val="uk-UA"/>
        </w:rPr>
        <w:t xml:space="preserve"> частоті вживання. Прикметник </w:t>
      </w:r>
      <w:r>
        <w:rPr>
          <w:i/>
          <w:sz w:val="28"/>
          <w:lang w:val="en-US"/>
        </w:rPr>
        <w:t>good</w:t>
      </w:r>
      <w:r w:rsidRPr="003C51C1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з частотою 39 має широту 0,27 більшу, ніж у прикметника </w:t>
      </w:r>
      <w:r>
        <w:rPr>
          <w:i/>
          <w:sz w:val="28"/>
          <w:lang w:val="en-US"/>
        </w:rPr>
        <w:t>large</w:t>
      </w:r>
      <w:r>
        <w:rPr>
          <w:sz w:val="28"/>
          <w:lang w:val="uk-UA"/>
        </w:rPr>
        <w:t xml:space="preserve"> 0,23 та </w:t>
      </w:r>
      <w:r>
        <w:rPr>
          <w:i/>
          <w:sz w:val="28"/>
          <w:lang w:val="en-US"/>
        </w:rPr>
        <w:t>mean</w:t>
      </w:r>
      <w:r w:rsidRPr="003C51C1">
        <w:rPr>
          <w:sz w:val="28"/>
          <w:lang w:val="uk-UA"/>
        </w:rPr>
        <w:t xml:space="preserve"> 0,23</w:t>
      </w:r>
      <w:r>
        <w:rPr>
          <w:sz w:val="28"/>
          <w:lang w:val="uk-UA"/>
        </w:rPr>
        <w:t xml:space="preserve">, які за частотою займають 2 та 3 місце. А для прикметника </w:t>
      </w:r>
      <w:r>
        <w:rPr>
          <w:i/>
          <w:sz w:val="28"/>
          <w:lang w:val="en-US"/>
        </w:rPr>
        <w:t>wide</w:t>
      </w:r>
      <w:r>
        <w:rPr>
          <w:sz w:val="28"/>
          <w:lang w:val="uk-UA"/>
        </w:rPr>
        <w:t xml:space="preserve"> та</w:t>
      </w:r>
      <w:r w:rsidRPr="003C51C1">
        <w:rPr>
          <w:i/>
          <w:sz w:val="28"/>
          <w:lang w:val="uk-UA"/>
        </w:rPr>
        <w:t xml:space="preserve"> </w:t>
      </w:r>
      <w:r>
        <w:rPr>
          <w:i/>
          <w:sz w:val="28"/>
          <w:lang w:val="en-US"/>
        </w:rPr>
        <w:t>current</w:t>
      </w:r>
      <w:r>
        <w:rPr>
          <w:sz w:val="28"/>
          <w:lang w:val="uk-UA"/>
        </w:rPr>
        <w:t xml:space="preserve">, які за частотою займають передостанні місця, широта сполучуваності 0,18 збігається з високочастотним прикметником </w:t>
      </w:r>
      <w:r>
        <w:rPr>
          <w:i/>
          <w:sz w:val="28"/>
          <w:lang w:val="en-US"/>
        </w:rPr>
        <w:t>normal</w:t>
      </w:r>
      <w:r>
        <w:rPr>
          <w:sz w:val="28"/>
          <w:lang w:val="uk-UA"/>
        </w:rPr>
        <w:t xml:space="preserve">. </w:t>
      </w:r>
    </w:p>
    <w:p w:rsidR="001E2B2E" w:rsidRDefault="00440513" w:rsidP="001E2B2E">
      <w:pPr>
        <w:spacing w:line="360" w:lineRule="auto"/>
        <w:ind w:firstLine="709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Висновки</w:t>
      </w:r>
      <w:r w:rsidR="001F5801">
        <w:rPr>
          <w:b/>
          <w:sz w:val="28"/>
          <w:lang w:val="uk-UA"/>
        </w:rPr>
        <w:t xml:space="preserve">. </w:t>
      </w:r>
      <w:r w:rsidRPr="00440513">
        <w:rPr>
          <w:sz w:val="28"/>
          <w:lang w:val="uk-UA"/>
        </w:rPr>
        <w:t xml:space="preserve">Найчастотніший прикметник </w:t>
      </w:r>
      <w:r w:rsidRPr="00440513">
        <w:rPr>
          <w:i/>
          <w:sz w:val="28"/>
          <w:lang w:val="en-US"/>
        </w:rPr>
        <w:t>different</w:t>
      </w:r>
      <w:r w:rsidRPr="00440513">
        <w:rPr>
          <w:sz w:val="28"/>
          <w:lang w:val="uk-UA"/>
        </w:rPr>
        <w:t xml:space="preserve"> має найбільший діапазон синтагматичних </w:t>
      </w:r>
      <w:proofErr w:type="spellStart"/>
      <w:r w:rsidRPr="00440513">
        <w:rPr>
          <w:sz w:val="28"/>
          <w:lang w:val="uk-UA"/>
        </w:rPr>
        <w:t>зв’язків</w:t>
      </w:r>
      <w:proofErr w:type="spellEnd"/>
      <w:r>
        <w:rPr>
          <w:sz w:val="28"/>
          <w:lang w:val="uk-UA"/>
        </w:rPr>
        <w:t xml:space="preserve">, що є середнім </w:t>
      </w:r>
      <w:r w:rsidRPr="00440513">
        <w:rPr>
          <w:sz w:val="28"/>
          <w:lang w:val="uk-UA"/>
        </w:rPr>
        <w:t>показник</w:t>
      </w:r>
      <w:r>
        <w:rPr>
          <w:sz w:val="28"/>
          <w:lang w:val="uk-UA"/>
        </w:rPr>
        <w:t>ом</w:t>
      </w:r>
      <w:r w:rsidRPr="00440513">
        <w:rPr>
          <w:sz w:val="28"/>
          <w:lang w:val="uk-UA"/>
        </w:rPr>
        <w:t xml:space="preserve"> широти,</w:t>
      </w:r>
      <w:r w:rsidR="006A28FB">
        <w:rPr>
          <w:sz w:val="28"/>
          <w:lang w:val="uk-UA"/>
        </w:rPr>
        <w:t xml:space="preserve"> але </w:t>
      </w:r>
      <w:r w:rsidRPr="00440513">
        <w:rPr>
          <w:sz w:val="28"/>
          <w:lang w:val="uk-UA"/>
        </w:rPr>
        <w:t xml:space="preserve">найвищим у науковому стилі. Середній показник широти виявлено у </w:t>
      </w:r>
      <w:r w:rsidRPr="00EB1FD0">
        <w:rPr>
          <w:sz w:val="28"/>
          <w:lang w:val="uk-UA"/>
        </w:rPr>
        <w:t>прикметник</w:t>
      </w:r>
      <w:r w:rsidR="00EB1FD0">
        <w:rPr>
          <w:sz w:val="28"/>
          <w:lang w:val="uk-UA"/>
        </w:rPr>
        <w:t xml:space="preserve">ів </w:t>
      </w:r>
      <w:r w:rsidRPr="00440513">
        <w:rPr>
          <w:sz w:val="28"/>
          <w:lang w:val="uk-UA"/>
        </w:rPr>
        <w:t xml:space="preserve"> </w:t>
      </w:r>
      <w:r w:rsidRPr="00440513">
        <w:rPr>
          <w:i/>
          <w:sz w:val="28"/>
          <w:lang w:val="en-US"/>
        </w:rPr>
        <w:t>small</w:t>
      </w:r>
      <w:r w:rsidR="00EB1FD0">
        <w:rPr>
          <w:i/>
          <w:sz w:val="28"/>
          <w:lang w:val="uk-UA"/>
        </w:rPr>
        <w:t xml:space="preserve">, </w:t>
      </w:r>
      <w:r w:rsidR="00EB1FD0" w:rsidRPr="00EB1FD0">
        <w:rPr>
          <w:i/>
          <w:sz w:val="28"/>
          <w:lang w:val="en-US"/>
        </w:rPr>
        <w:t>new</w:t>
      </w:r>
      <w:r w:rsidR="00EB1FD0" w:rsidRPr="00EB1FD0">
        <w:rPr>
          <w:i/>
          <w:sz w:val="28"/>
          <w:lang w:val="uk-UA"/>
        </w:rPr>
        <w:t xml:space="preserve"> </w:t>
      </w:r>
      <w:r w:rsidR="00EB1FD0" w:rsidRPr="00EB1FD0">
        <w:rPr>
          <w:sz w:val="28"/>
          <w:lang w:val="uk-UA"/>
        </w:rPr>
        <w:t>та</w:t>
      </w:r>
      <w:r w:rsidR="00EB1FD0" w:rsidRPr="00EB1FD0">
        <w:rPr>
          <w:i/>
          <w:sz w:val="28"/>
          <w:lang w:val="uk-UA"/>
        </w:rPr>
        <w:t xml:space="preserve"> </w:t>
      </w:r>
      <w:r w:rsidR="00EB1FD0" w:rsidRPr="00EB1FD0">
        <w:rPr>
          <w:i/>
          <w:sz w:val="28"/>
          <w:lang w:val="en-US"/>
        </w:rPr>
        <w:t>modern</w:t>
      </w:r>
      <w:r w:rsidR="00EB1FD0">
        <w:rPr>
          <w:i/>
          <w:sz w:val="28"/>
          <w:lang w:val="uk-UA"/>
        </w:rPr>
        <w:t xml:space="preserve">. </w:t>
      </w:r>
      <w:r w:rsidR="001E2B2E">
        <w:rPr>
          <w:sz w:val="28"/>
          <w:lang w:val="uk-UA"/>
        </w:rPr>
        <w:t>Дослідження виявило, що немає прямого зв</w:t>
      </w:r>
      <w:r w:rsidR="001E2B2E" w:rsidRPr="001E2B2E">
        <w:rPr>
          <w:sz w:val="28"/>
          <w:lang w:val="uk-UA"/>
        </w:rPr>
        <w:t>’</w:t>
      </w:r>
      <w:r w:rsidR="001E2B2E">
        <w:rPr>
          <w:sz w:val="28"/>
          <w:lang w:val="uk-UA"/>
        </w:rPr>
        <w:t>язку між частотою вживання та широтою сполучуваності прикметників. Наведені нами приклади свідчать про те, що широта, безумовно, реагує на всі чинники, як лінгвістичні, екстралінгвістичні так і функціональний фактор. Вплив кожного з них на широту сполучуваності буде розглянуто у наступному дослідженні.</w:t>
      </w:r>
    </w:p>
    <w:p w:rsidR="001E2B2E" w:rsidRPr="001E2B2E" w:rsidRDefault="001E2B2E" w:rsidP="00EB1FD0">
      <w:pPr>
        <w:spacing w:line="360" w:lineRule="auto"/>
        <w:ind w:firstLine="709"/>
        <w:jc w:val="both"/>
        <w:rPr>
          <w:b/>
          <w:sz w:val="28"/>
          <w:lang w:val="uk-UA"/>
        </w:rPr>
      </w:pPr>
      <w:r>
        <w:rPr>
          <w:i/>
          <w:sz w:val="28"/>
          <w:lang w:val="uk-UA"/>
        </w:rPr>
        <w:t xml:space="preserve">                                        </w:t>
      </w:r>
      <w:r>
        <w:rPr>
          <w:b/>
          <w:sz w:val="28"/>
          <w:lang w:val="uk-UA"/>
        </w:rPr>
        <w:t>Література</w:t>
      </w:r>
    </w:p>
    <w:p w:rsidR="001F5801" w:rsidRPr="001F5801" w:rsidRDefault="001E2B2E" w:rsidP="001F5801">
      <w:pPr>
        <w:spacing w:line="360" w:lineRule="auto"/>
        <w:jc w:val="both"/>
        <w:rPr>
          <w:rFonts w:eastAsia="Calibri"/>
          <w:spacing w:val="-3"/>
          <w:sz w:val="28"/>
          <w:szCs w:val="28"/>
          <w:lang w:val="de-DE" w:eastAsia="en-US"/>
        </w:rPr>
      </w:pPr>
      <w:r>
        <w:rPr>
          <w:rFonts w:eastAsia="Calibri"/>
          <w:spacing w:val="-3"/>
          <w:sz w:val="28"/>
          <w:szCs w:val="28"/>
          <w:lang w:val="uk-UA" w:eastAsia="en-US"/>
        </w:rPr>
        <w:t>1.</w:t>
      </w:r>
      <w:r w:rsidR="001F5801" w:rsidRPr="001F5801">
        <w:rPr>
          <w:sz w:val="28"/>
          <w:szCs w:val="28"/>
          <w:lang w:val="de-DE"/>
        </w:rPr>
        <w:t xml:space="preserve"> </w:t>
      </w:r>
      <w:r w:rsidR="001F5801" w:rsidRPr="001F5801">
        <w:rPr>
          <w:rFonts w:eastAsia="Calibri"/>
          <w:spacing w:val="-3"/>
          <w:sz w:val="28"/>
          <w:szCs w:val="28"/>
          <w:lang w:val="de-DE" w:eastAsia="en-US"/>
        </w:rPr>
        <w:t>Trier J. Das sprachliche Feld. Eine Auseinandersetzung</w:t>
      </w:r>
      <w:r w:rsidR="001F5801">
        <w:rPr>
          <w:rFonts w:eastAsia="Calibri"/>
          <w:spacing w:val="-3"/>
          <w:sz w:val="28"/>
          <w:szCs w:val="28"/>
          <w:lang w:val="de-DE" w:eastAsia="en-US"/>
        </w:rPr>
        <w:t xml:space="preserve">. </w:t>
      </w:r>
      <w:r w:rsidR="001F5801" w:rsidRPr="001F5801">
        <w:rPr>
          <w:rFonts w:eastAsia="Calibri"/>
          <w:spacing w:val="-3"/>
          <w:sz w:val="28"/>
          <w:szCs w:val="28"/>
          <w:lang w:val="de-DE" w:eastAsia="en-US"/>
        </w:rPr>
        <w:t xml:space="preserve">Neue Jahrbücher für Wissenschaft und Jugendbildung. </w:t>
      </w:r>
      <w:r w:rsidR="001F5801">
        <w:rPr>
          <w:rFonts w:eastAsia="Calibri"/>
          <w:spacing w:val="-3"/>
          <w:sz w:val="28"/>
          <w:szCs w:val="28"/>
          <w:lang w:val="de-DE" w:eastAsia="en-US"/>
        </w:rPr>
        <w:t xml:space="preserve">1934. </w:t>
      </w:r>
      <w:r w:rsidR="001F5801" w:rsidRPr="001F5801">
        <w:rPr>
          <w:rFonts w:eastAsia="Calibri"/>
          <w:spacing w:val="-3"/>
          <w:sz w:val="28"/>
          <w:szCs w:val="28"/>
          <w:lang w:val="de-DE" w:eastAsia="en-US"/>
        </w:rPr>
        <w:t>S. 25–78.</w:t>
      </w:r>
    </w:p>
    <w:p w:rsidR="001F5801" w:rsidRPr="001F5801" w:rsidRDefault="001F5801" w:rsidP="001F5801">
      <w:pPr>
        <w:spacing w:line="360" w:lineRule="auto"/>
        <w:jc w:val="both"/>
        <w:rPr>
          <w:rFonts w:eastAsia="Calibri"/>
          <w:spacing w:val="-3"/>
          <w:sz w:val="28"/>
          <w:szCs w:val="28"/>
          <w:lang w:val="uk-UA" w:eastAsia="en-US"/>
        </w:rPr>
      </w:pPr>
      <w:r>
        <w:rPr>
          <w:rFonts w:eastAsia="Calibri"/>
          <w:spacing w:val="-3"/>
          <w:sz w:val="28"/>
          <w:szCs w:val="28"/>
          <w:lang w:eastAsia="en-US"/>
        </w:rPr>
        <w:t>2.</w:t>
      </w:r>
      <w:r w:rsidRPr="001F5801">
        <w:rPr>
          <w:rFonts w:eastAsia="Calibri"/>
          <w:spacing w:val="-3"/>
          <w:sz w:val="28"/>
          <w:szCs w:val="28"/>
          <w:lang w:val="uk-UA" w:eastAsia="en-US"/>
        </w:rPr>
        <w:t xml:space="preserve"> Данилович О. Семантична сполучуваність ЛСГ прикметників з ЛСГ іменників у науковому стилі / Левицький В.В. та ін. </w:t>
      </w:r>
      <w:r w:rsidRPr="001F5801">
        <w:rPr>
          <w:rFonts w:eastAsia="Calibri"/>
          <w:i/>
          <w:spacing w:val="-3"/>
          <w:sz w:val="28"/>
          <w:szCs w:val="28"/>
          <w:lang w:val="uk-UA" w:eastAsia="en-US"/>
        </w:rPr>
        <w:t>Науковий вісник Чер</w:t>
      </w:r>
      <w:r w:rsidRPr="001F5801">
        <w:rPr>
          <w:rFonts w:eastAsia="Calibri"/>
          <w:i/>
          <w:spacing w:val="-3"/>
          <w:sz w:val="28"/>
          <w:szCs w:val="28"/>
          <w:lang w:val="uk-UA" w:eastAsia="en-US"/>
        </w:rPr>
        <w:softHyphen/>
        <w:t>ні</w:t>
      </w:r>
      <w:r w:rsidRPr="001F5801">
        <w:rPr>
          <w:rFonts w:eastAsia="Calibri"/>
          <w:i/>
          <w:spacing w:val="-3"/>
          <w:sz w:val="28"/>
          <w:szCs w:val="28"/>
          <w:lang w:val="uk-UA" w:eastAsia="en-US"/>
        </w:rPr>
        <w:softHyphen/>
        <w:t>вецького університету.</w:t>
      </w:r>
      <w:r w:rsidRPr="001F5801">
        <w:rPr>
          <w:rFonts w:eastAsia="Calibri"/>
          <w:spacing w:val="-3"/>
          <w:sz w:val="28"/>
          <w:szCs w:val="28"/>
          <w:lang w:val="uk-UA" w:eastAsia="en-US"/>
        </w:rPr>
        <w:t xml:space="preserve"> Германська філологія. 2008.  </w:t>
      </w:r>
      <w:proofErr w:type="spellStart"/>
      <w:r w:rsidRPr="001F5801">
        <w:rPr>
          <w:rFonts w:eastAsia="Calibri"/>
          <w:spacing w:val="-3"/>
          <w:sz w:val="28"/>
          <w:szCs w:val="28"/>
          <w:lang w:val="uk-UA" w:eastAsia="en-US"/>
        </w:rPr>
        <w:t>Вип</w:t>
      </w:r>
      <w:proofErr w:type="spellEnd"/>
      <w:r w:rsidRPr="001F5801">
        <w:rPr>
          <w:rFonts w:eastAsia="Calibri"/>
          <w:spacing w:val="-3"/>
          <w:sz w:val="28"/>
          <w:szCs w:val="28"/>
          <w:lang w:val="uk-UA" w:eastAsia="en-US"/>
        </w:rPr>
        <w:t>. 370–371. С. 109–121.</w:t>
      </w:r>
    </w:p>
    <w:p w:rsidR="00956815" w:rsidRPr="001E2B2E" w:rsidRDefault="00956815" w:rsidP="001E2B2E">
      <w:pPr>
        <w:spacing w:line="360" w:lineRule="auto"/>
        <w:jc w:val="both"/>
        <w:rPr>
          <w:rFonts w:eastAsia="Calibri"/>
          <w:spacing w:val="-3"/>
          <w:sz w:val="28"/>
          <w:szCs w:val="28"/>
          <w:lang w:val="uk-UA" w:eastAsia="en-US"/>
        </w:rPr>
      </w:pPr>
    </w:p>
    <w:p w:rsidR="00DC51E5" w:rsidRPr="006C7BEB" w:rsidRDefault="001F5801">
      <w:pPr>
        <w:rPr>
          <w:lang w:val="uk-UA"/>
        </w:rPr>
      </w:pPr>
    </w:p>
    <w:sectPr w:rsidR="00DC51E5" w:rsidRPr="006C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4C61"/>
    <w:multiLevelType w:val="hybridMultilevel"/>
    <w:tmpl w:val="A704C824"/>
    <w:lvl w:ilvl="0" w:tplc="C2A01E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66E13"/>
    <w:multiLevelType w:val="hybridMultilevel"/>
    <w:tmpl w:val="6BF63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F24B3"/>
    <w:multiLevelType w:val="hybridMultilevel"/>
    <w:tmpl w:val="5AB0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E003C"/>
    <w:multiLevelType w:val="hybridMultilevel"/>
    <w:tmpl w:val="E2CC2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10"/>
    <w:rsid w:val="001B176B"/>
    <w:rsid w:val="001E2B2E"/>
    <w:rsid w:val="001F5801"/>
    <w:rsid w:val="00440513"/>
    <w:rsid w:val="004A0952"/>
    <w:rsid w:val="00623B59"/>
    <w:rsid w:val="006A28FB"/>
    <w:rsid w:val="006A4DF6"/>
    <w:rsid w:val="006B4410"/>
    <w:rsid w:val="006C7BEB"/>
    <w:rsid w:val="007137D4"/>
    <w:rsid w:val="007B3E9B"/>
    <w:rsid w:val="00956815"/>
    <w:rsid w:val="00997F40"/>
    <w:rsid w:val="00A81B91"/>
    <w:rsid w:val="00D6683D"/>
    <w:rsid w:val="00E624FB"/>
    <w:rsid w:val="00EB1FD0"/>
    <w:rsid w:val="00FB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CDAB5"/>
  <w15:chartTrackingRefBased/>
  <w15:docId w15:val="{1456AF5B-D9B0-4809-8A77-B5F9D142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rsid w:val="00A81B91"/>
    <w:rPr>
      <w:i w:val="0"/>
      <w:iCs w:val="0"/>
      <w:color w:val="0E774A"/>
    </w:rPr>
  </w:style>
  <w:style w:type="table" w:customStyle="1" w:styleId="1">
    <w:name w:val="Сетка таблицы1"/>
    <w:basedOn w:val="a1"/>
    <w:next w:val="a3"/>
    <w:uiPriority w:val="59"/>
    <w:rsid w:val="00D6683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66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2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2023-08-02T08:34:00Z</dcterms:created>
  <dcterms:modified xsi:type="dcterms:W3CDTF">2024-01-26T14:17:00Z</dcterms:modified>
</cp:coreProperties>
</file>