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3E00" w:rsidRPr="007C5908" w:rsidRDefault="00663B1C">
      <w:pPr>
        <w:spacing w:after="0" w:line="360" w:lineRule="auto"/>
        <w:jc w:val="center"/>
        <w:rPr>
          <w:rFonts w:ascii="Times New Roman" w:eastAsia="Times New Roman" w:hAnsi="Times New Roman" w:cs="Times New Roman"/>
          <w:b/>
          <w:bCs/>
          <w:sz w:val="28"/>
          <w:szCs w:val="28"/>
        </w:rPr>
      </w:pPr>
      <w:bookmarkStart w:id="0" w:name="_y04q2gfzo9cm" w:colFirst="0" w:colLast="0"/>
      <w:bookmarkEnd w:id="0"/>
      <w:r w:rsidRPr="007C5908">
        <w:rPr>
          <w:rFonts w:ascii="Times New Roman" w:eastAsia="Times New Roman" w:hAnsi="Times New Roman" w:cs="Times New Roman"/>
          <w:b/>
          <w:bCs/>
          <w:sz w:val="28"/>
          <w:szCs w:val="28"/>
        </w:rPr>
        <w:t>Корбутяк Аліна Георгіївна</w:t>
      </w:r>
    </w:p>
    <w:p w:rsidR="00623E00" w:rsidRPr="007C5908" w:rsidRDefault="00663B1C">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7C5908">
        <w:rPr>
          <w:rFonts w:ascii="Times New Roman" w:eastAsia="Times New Roman" w:hAnsi="Times New Roman" w:cs="Times New Roman"/>
          <w:color w:val="000000"/>
          <w:sz w:val="28"/>
          <w:szCs w:val="28"/>
        </w:rPr>
        <w:t xml:space="preserve">кандидат економічних наук, доцент, </w:t>
      </w:r>
    </w:p>
    <w:p w:rsidR="00623E00" w:rsidRPr="007C5908" w:rsidRDefault="00663B1C">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7C5908">
        <w:rPr>
          <w:rFonts w:ascii="Times New Roman" w:eastAsia="Times New Roman" w:hAnsi="Times New Roman" w:cs="Times New Roman"/>
          <w:color w:val="000000"/>
          <w:sz w:val="28"/>
          <w:szCs w:val="28"/>
        </w:rPr>
        <w:t>Чернівецький національний університет імені Юрія Федьковича</w:t>
      </w:r>
    </w:p>
    <w:p w:rsidR="00623E00" w:rsidRPr="007C5908" w:rsidRDefault="00663B1C">
      <w:pPr>
        <w:spacing w:after="0" w:line="360" w:lineRule="auto"/>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sz w:val="28"/>
          <w:szCs w:val="28"/>
        </w:rPr>
        <w:t>ORCID: https://orcid.org/ 0000-0002-9330-7145</w:t>
      </w:r>
      <w:r w:rsidRPr="007C5908">
        <w:rPr>
          <w:rFonts w:ascii="Times New Roman" w:eastAsia="Times New Roman" w:hAnsi="Times New Roman" w:cs="Times New Roman"/>
          <w:b/>
          <w:bCs/>
          <w:sz w:val="28"/>
          <w:szCs w:val="28"/>
        </w:rPr>
        <w:t xml:space="preserve"> </w:t>
      </w:r>
    </w:p>
    <w:p w:rsidR="00623E00" w:rsidRPr="007C5908" w:rsidRDefault="00663B1C">
      <w:pPr>
        <w:spacing w:after="0" w:line="360" w:lineRule="auto"/>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Alina Korbutiak</w:t>
      </w:r>
    </w:p>
    <w:p w:rsidR="00623E00" w:rsidRPr="007C5908" w:rsidRDefault="00663B1C">
      <w:pPr>
        <w:spacing w:after="0" w:line="360" w:lineRule="auto"/>
        <w:jc w:val="center"/>
        <w:rPr>
          <w:rFonts w:ascii="Times New Roman" w:eastAsia="Times New Roman" w:hAnsi="Times New Roman" w:cs="Times New Roman"/>
          <w:b/>
          <w:bCs/>
          <w:sz w:val="28"/>
          <w:szCs w:val="28"/>
        </w:rPr>
      </w:pPr>
      <w:bookmarkStart w:id="1" w:name="_z49f9qucve76" w:colFirst="0" w:colLast="0"/>
      <w:bookmarkEnd w:id="1"/>
      <w:r w:rsidRPr="007C5908">
        <w:rPr>
          <w:rFonts w:ascii="Times New Roman" w:eastAsia="Times New Roman" w:hAnsi="Times New Roman" w:cs="Times New Roman"/>
          <w:b/>
          <w:bCs/>
          <w:sz w:val="28"/>
          <w:szCs w:val="28"/>
        </w:rPr>
        <w:t>PhD,</w:t>
      </w:r>
      <w:r w:rsidRPr="007C5908">
        <w:rPr>
          <w:rFonts w:ascii="Times New Roman" w:eastAsia="Times New Roman" w:hAnsi="Times New Roman" w:cs="Times New Roman"/>
        </w:rPr>
        <w:t xml:space="preserve"> </w:t>
      </w:r>
      <w:r w:rsidRPr="007C5908">
        <w:rPr>
          <w:rFonts w:ascii="Times New Roman" w:eastAsia="Times New Roman" w:hAnsi="Times New Roman" w:cs="Times New Roman"/>
          <w:b/>
          <w:bCs/>
          <w:sz w:val="28"/>
          <w:szCs w:val="28"/>
        </w:rPr>
        <w:t xml:space="preserve">Yuriy Fedkovych Chernivtsi National University </w:t>
      </w:r>
    </w:p>
    <w:p w:rsidR="00623E00" w:rsidRPr="007C5908" w:rsidRDefault="00623E00">
      <w:pPr>
        <w:spacing w:after="0" w:line="360" w:lineRule="auto"/>
        <w:jc w:val="center"/>
        <w:rPr>
          <w:rFonts w:ascii="Times New Roman" w:eastAsia="Times New Roman" w:hAnsi="Times New Roman" w:cs="Times New Roman"/>
          <w:b/>
          <w:bCs/>
          <w:sz w:val="28"/>
          <w:szCs w:val="28"/>
        </w:rPr>
      </w:pPr>
    </w:p>
    <w:p w:rsidR="00623E00" w:rsidRPr="007C5908" w:rsidRDefault="00623E00">
      <w:pPr>
        <w:spacing w:after="0" w:line="360" w:lineRule="auto"/>
        <w:jc w:val="center"/>
        <w:rPr>
          <w:rFonts w:ascii="Times New Roman" w:eastAsia="Times New Roman" w:hAnsi="Times New Roman" w:cs="Times New Roman"/>
          <w:b/>
          <w:bCs/>
          <w:sz w:val="28"/>
          <w:szCs w:val="28"/>
        </w:rPr>
      </w:pPr>
    </w:p>
    <w:p w:rsidR="00623E00" w:rsidRPr="007C5908" w:rsidRDefault="00663B1C">
      <w:pPr>
        <w:spacing w:after="0" w:line="360" w:lineRule="auto"/>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Дручук Ганна Георгіївна</w:t>
      </w:r>
    </w:p>
    <w:p w:rsidR="00623E00" w:rsidRPr="007C5908" w:rsidRDefault="00663B1C">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7C5908">
        <w:rPr>
          <w:rFonts w:ascii="Times New Roman" w:eastAsia="Times New Roman" w:hAnsi="Times New Roman" w:cs="Times New Roman"/>
          <w:color w:val="000000"/>
          <w:sz w:val="28"/>
          <w:szCs w:val="28"/>
        </w:rPr>
        <w:t xml:space="preserve">магістр, Чернівецький національний університет імені Юрія Федьковича </w:t>
      </w:r>
    </w:p>
    <w:p w:rsidR="00623E00" w:rsidRPr="007C5908" w:rsidRDefault="00663B1C">
      <w:pPr>
        <w:widowControl w:val="0"/>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sidRPr="007C5908">
        <w:rPr>
          <w:rFonts w:ascii="Times New Roman" w:eastAsia="Times New Roman" w:hAnsi="Times New Roman" w:cs="Times New Roman"/>
          <w:b/>
          <w:bCs/>
          <w:color w:val="000000"/>
          <w:sz w:val="28"/>
          <w:szCs w:val="28"/>
        </w:rPr>
        <w:t>Druchuk Hanna</w:t>
      </w:r>
    </w:p>
    <w:p w:rsidR="00623E00" w:rsidRPr="007C5908" w:rsidRDefault="00663B1C">
      <w:pPr>
        <w:widowControl w:val="0"/>
        <w:spacing w:after="0" w:line="360" w:lineRule="auto"/>
        <w:ind w:firstLine="708"/>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Master of finance, Yuriy Fedkovych Chernivtsi National University</w:t>
      </w:r>
    </w:p>
    <w:p w:rsidR="00623E00" w:rsidRPr="007C5908" w:rsidRDefault="00623E0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rsidR="00623E00" w:rsidRPr="007C5908" w:rsidRDefault="00623E0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rsidR="00623E00" w:rsidRDefault="00663B1C">
      <w:pPr>
        <w:spacing w:after="0" w:line="360" w:lineRule="auto"/>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Оптимізація структури джерел фінансування інвестиційної діяльності  підприємства в умовах економічної нестабільності (на прикладі ПП «Елана»)</w:t>
      </w:r>
    </w:p>
    <w:p w:rsidR="00280803" w:rsidRDefault="00280803">
      <w:pPr>
        <w:spacing w:after="0" w:line="360" w:lineRule="auto"/>
        <w:jc w:val="center"/>
        <w:rPr>
          <w:rFonts w:ascii="Times New Roman" w:eastAsia="Times New Roman" w:hAnsi="Times New Roman" w:cs="Times New Roman"/>
          <w:b/>
          <w:bCs/>
          <w:sz w:val="28"/>
          <w:szCs w:val="28"/>
        </w:rPr>
      </w:pPr>
    </w:p>
    <w:p w:rsidR="00280803" w:rsidRDefault="00280803">
      <w:pPr>
        <w:spacing w:after="0" w:line="360" w:lineRule="auto"/>
        <w:jc w:val="center"/>
        <w:rPr>
          <w:rFonts w:ascii="Times New Roman" w:eastAsia="Times New Roman" w:hAnsi="Times New Roman" w:cs="Times New Roman"/>
          <w:b/>
          <w:bCs/>
          <w:sz w:val="28"/>
          <w:szCs w:val="28"/>
        </w:rPr>
      </w:pPr>
      <w:r w:rsidRPr="00280803">
        <w:rPr>
          <w:rFonts w:ascii="Times New Roman" w:eastAsia="Times New Roman" w:hAnsi="Times New Roman" w:cs="Times New Roman"/>
          <w:b/>
          <w:bCs/>
          <w:sz w:val="28"/>
          <w:szCs w:val="28"/>
        </w:rPr>
        <w:t>Optimization of the Financing Structure for Enterprise Investment Activities under Economic Instability (Case Study of PP “Elana”)</w:t>
      </w:r>
    </w:p>
    <w:p w:rsidR="00280803" w:rsidRPr="007C5908" w:rsidRDefault="00280803">
      <w:pPr>
        <w:spacing w:after="0" w:line="360" w:lineRule="auto"/>
        <w:jc w:val="center"/>
        <w:rPr>
          <w:rFonts w:ascii="Times New Roman" w:eastAsia="Times New Roman" w:hAnsi="Times New Roman" w:cs="Times New Roman"/>
          <w:b/>
          <w:bCs/>
          <w:sz w:val="28"/>
          <w:szCs w:val="28"/>
        </w:rPr>
      </w:pPr>
    </w:p>
    <w:p w:rsidR="00280803" w:rsidRDefault="00663B1C" w:rsidP="00280803">
      <w:pPr>
        <w:spacing w:after="0" w:line="360" w:lineRule="auto"/>
        <w:ind w:firstLine="720"/>
        <w:jc w:val="center"/>
        <w:rPr>
          <w:rFonts w:ascii="Times New Roman" w:eastAsia="Times New Roman" w:hAnsi="Times New Roman" w:cs="Times New Roman"/>
          <w:sz w:val="28"/>
          <w:szCs w:val="28"/>
        </w:rPr>
      </w:pPr>
      <w:r w:rsidRPr="007C5908">
        <w:rPr>
          <w:rFonts w:ascii="Times New Roman" w:eastAsia="Times New Roman" w:hAnsi="Times New Roman" w:cs="Times New Roman"/>
          <w:b/>
          <w:bCs/>
          <w:sz w:val="28"/>
          <w:szCs w:val="28"/>
        </w:rPr>
        <w:t>Анотація</w:t>
      </w:r>
    </w:p>
    <w:p w:rsidR="00623E00" w:rsidRPr="007C5908" w:rsidRDefault="00663B1C">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В цій статті досліджено особливості формування та оптимізації структури джерел фінансування інвестиційної діяльності підприємства в умовах економічної нестабільності, зумовленої повномасштабним вторгненням, на прикладі ПП «Елана», проаналізовано динаміку основних фінансових показників за 2019–2024 рр., зміни в структурі активів і пасивів, співвідношення між власним і позиковим капіталом, рівня ліквідності та показників фінансової стійкості</w:t>
      </w:r>
      <w:r w:rsidR="00432AAE" w:rsidRPr="00432AAE">
        <w:rPr>
          <w:rFonts w:ascii="Times New Roman" w:eastAsia="Times New Roman" w:hAnsi="Times New Roman" w:cs="Times New Roman"/>
          <w:sz w:val="28"/>
          <w:szCs w:val="28"/>
        </w:rPr>
        <w:t xml:space="preserve"> [2]</w:t>
      </w:r>
      <w:r w:rsidRPr="007C5908">
        <w:rPr>
          <w:rFonts w:ascii="Times New Roman" w:eastAsia="Times New Roman" w:hAnsi="Times New Roman" w:cs="Times New Roman"/>
          <w:sz w:val="28"/>
          <w:szCs w:val="28"/>
        </w:rPr>
        <w:t xml:space="preserve">. Особлива увага приділена впливу </w:t>
      </w:r>
      <w:r w:rsidRPr="007C5908">
        <w:rPr>
          <w:rFonts w:ascii="Times New Roman" w:eastAsia="Times New Roman" w:hAnsi="Times New Roman" w:cs="Times New Roman"/>
          <w:sz w:val="28"/>
          <w:szCs w:val="28"/>
        </w:rPr>
        <w:lastRenderedPageBreak/>
        <w:t>зовнішніх чинників на можливості фінансування інвестицій та оновлення виробничого потенціалу підприємства.</w:t>
      </w:r>
    </w:p>
    <w:p w:rsidR="00623E00" w:rsidRPr="007C5908" w:rsidRDefault="00663B1C">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Встановлено, що, незважаючи на високі ризики та невизначеність, ПП «Елана» зберегло та посилило інвестиційну активність, що підтверджено суттєвим зростанням вартості основних засобів і валюти балансу. Це свідчить про стратегічну орієнтацію підприємства на технологічне оновлення та розширення виробництва. Разом із тим, збільшення частки поточних зобов’язань і залежності від короткострокових позикових ресурсів загострило проблеми фінансової</w:t>
      </w:r>
      <w:r w:rsidR="00631374" w:rsidRPr="007C5908">
        <w:rPr>
          <w:rFonts w:ascii="Times New Roman" w:eastAsia="Times New Roman" w:hAnsi="Times New Roman" w:cs="Times New Roman"/>
          <w:sz w:val="28"/>
          <w:szCs w:val="28"/>
          <w:lang w:val="uk-UA"/>
        </w:rPr>
        <w:t xml:space="preserve"> спроможності підприємства</w:t>
      </w:r>
      <w:r w:rsidRPr="007C5908">
        <w:rPr>
          <w:rFonts w:ascii="Times New Roman" w:eastAsia="Times New Roman" w:hAnsi="Times New Roman" w:cs="Times New Roman"/>
          <w:sz w:val="28"/>
          <w:szCs w:val="28"/>
        </w:rPr>
        <w:t>.</w:t>
      </w:r>
    </w:p>
    <w:p w:rsidR="00623E00" w:rsidRPr="007C5908" w:rsidRDefault="00663B1C" w:rsidP="0074361C">
      <w:pPr>
        <w:spacing w:after="0" w:line="360" w:lineRule="auto"/>
        <w:ind w:firstLine="720"/>
        <w:jc w:val="both"/>
        <w:rPr>
          <w:rFonts w:ascii="Times New Roman" w:eastAsia="Times New Roman" w:hAnsi="Times New Roman" w:cs="Times New Roman"/>
          <w:color w:val="000000"/>
          <w:sz w:val="28"/>
          <w:szCs w:val="28"/>
        </w:rPr>
      </w:pPr>
      <w:r w:rsidRPr="007C5908">
        <w:rPr>
          <w:rFonts w:ascii="Times New Roman" w:eastAsia="Times New Roman" w:hAnsi="Times New Roman" w:cs="Times New Roman"/>
          <w:color w:val="000000"/>
          <w:sz w:val="28"/>
          <w:szCs w:val="28"/>
        </w:rPr>
        <w:t xml:space="preserve">Запропоновано комплекс напрямів оптимізації структури джерел фінансування інвестиційної діяльності, серед яких: підвищення ролі реінвестованого прибутку, поступове нарощення довгострокових фінансових інструментів, диверсифікація позикових джерел, удосконалення політики управління дебіторською заборгованістю, впровадження механізмів лізингу, а також активне використання державних та міжнародних програм підтримки бізнесу у воєнний та післявоєнний період. </w:t>
      </w:r>
      <w:r w:rsidR="0074361C" w:rsidRPr="007C5908">
        <w:rPr>
          <w:rFonts w:ascii="Times New Roman" w:eastAsia="Times New Roman" w:hAnsi="Times New Roman" w:cs="Times New Roman"/>
          <w:color w:val="000000"/>
          <w:sz w:val="28"/>
          <w:szCs w:val="28"/>
        </w:rPr>
        <w:t>Практичне значення отриманих результатів полягає в можливості їх використання для підвищення фінансової стійкості підприємства та забезпечення сталого розвитку його інвестиційної діяльності.</w:t>
      </w:r>
    </w:p>
    <w:p w:rsidR="00623E00" w:rsidRPr="007C5908" w:rsidRDefault="00663B1C">
      <w:pPr>
        <w:spacing w:after="0" w:line="360" w:lineRule="auto"/>
        <w:ind w:firstLine="720"/>
        <w:jc w:val="both"/>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Ключові слова:</w:t>
      </w:r>
      <w:r w:rsidRPr="007C5908">
        <w:rPr>
          <w:rFonts w:ascii="Times New Roman" w:eastAsia="Times New Roman" w:hAnsi="Times New Roman" w:cs="Times New Roman"/>
          <w:sz w:val="28"/>
          <w:szCs w:val="28"/>
        </w:rPr>
        <w:t xml:space="preserve"> інвестиційна діяльність, джерела фінансування, структура капіталу, власний капітал, позиковий капітал, фінансова стійкість, ПП «Елана», оптимізація структури джерел фінансування.</w:t>
      </w:r>
    </w:p>
    <w:p w:rsidR="00623E00" w:rsidRPr="007C5908" w:rsidRDefault="00663B1C">
      <w:pPr>
        <w:spacing w:before="240" w:after="0" w:line="360" w:lineRule="auto"/>
        <w:ind w:firstLine="700"/>
        <w:jc w:val="center"/>
        <w:rPr>
          <w:rFonts w:ascii="Times New Roman" w:eastAsia="Times New Roman" w:hAnsi="Times New Roman" w:cs="Times New Roman"/>
          <w:sz w:val="28"/>
          <w:szCs w:val="28"/>
        </w:rPr>
      </w:pPr>
      <w:r w:rsidRPr="007C5908">
        <w:rPr>
          <w:rFonts w:ascii="Times New Roman" w:eastAsia="Times New Roman" w:hAnsi="Times New Roman" w:cs="Times New Roman"/>
          <w:b/>
          <w:bCs/>
          <w:sz w:val="28"/>
          <w:szCs w:val="28"/>
        </w:rPr>
        <w:t>Annotation</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The full‑scale war and prolonged economic instability have significantly limited the access of Ukrainian enterprises to investment resources, disrupting traditional mechanisms of financing and increasing dependence on short‑term borrowing. In such conditions, the problem of forming an optimal structure of financing sources becomes critically important for maintaining financial resilience and ensuring sustainable investment development.</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lastRenderedPageBreak/>
        <w:t>This article aims to substantiate effective approaches to optimizing the structure of financing sources for investment activity under conditions of macroeconomic turbulence, using PP “Elana” as a case study.</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The study is based on a comprehensive financial analysis of the enterprise for 2019–2024, including trend, structural, ratio, and liquidity analysis. Theoretical generalization and comparative analysis were used to align empirical findings with international research on capital structure optimization.</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The analysis revealed a threefold increase in total assets and a significant intensification of investment activity, despite wartime constraints. However, the capital structure demonstrates growing dependence on short‑term liabilities, deterioration of liquidity indicators, and an imbalance between internal and external financing sources. The study identifies key weaknesses in financial sustainability and proposes a set of measures to increase the share of stable and long‑term financial resources.</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Optimization of financing sources for PP “Elana” requires increasing the role of reinvested earnings, expanding access to long‑term debt instruments, improving working capital management, diversifying external funding channels, and utilizing state and international support programs. These measures will enhance financial stability and support sustainable investment development during wartime and in the post‑war recovery period.</w:t>
      </w:r>
    </w:p>
    <w:p w:rsidR="00623E00" w:rsidRPr="007C5908" w:rsidRDefault="00663B1C" w:rsidP="00631374">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b/>
          <w:bCs/>
          <w:sz w:val="28"/>
          <w:szCs w:val="28"/>
        </w:rPr>
        <w:t>Keywords:</w:t>
      </w:r>
      <w:r w:rsidRPr="007C5908">
        <w:rPr>
          <w:rFonts w:ascii="Times New Roman" w:eastAsia="Times New Roman" w:hAnsi="Times New Roman" w:cs="Times New Roman"/>
          <w:sz w:val="28"/>
          <w:szCs w:val="28"/>
        </w:rPr>
        <w:t xml:space="preserve"> investment activity, financing sources, capital structure, equity capital, debt capital, financial stability, PP “Elana”, optimization of financing structure.</w:t>
      </w:r>
    </w:p>
    <w:p w:rsidR="0074361C" w:rsidRPr="007C5908" w:rsidRDefault="00663B1C" w:rsidP="0074361C">
      <w:pPr>
        <w:spacing w:after="0" w:line="360" w:lineRule="auto"/>
        <w:ind w:firstLine="720"/>
        <w:jc w:val="both"/>
        <w:rPr>
          <w:rFonts w:ascii="Times New Roman" w:eastAsia="Times New Roman" w:hAnsi="Times New Roman" w:cs="Times New Roman"/>
          <w:sz w:val="28"/>
          <w:szCs w:val="28"/>
          <w:lang w:val="uk-UA"/>
        </w:rPr>
      </w:pPr>
      <w:r w:rsidRPr="007C5908">
        <w:rPr>
          <w:rFonts w:ascii="Times New Roman" w:eastAsia="Times New Roman" w:hAnsi="Times New Roman" w:cs="Times New Roman"/>
          <w:b/>
          <w:bCs/>
          <w:sz w:val="28"/>
          <w:szCs w:val="28"/>
        </w:rPr>
        <w:t>Вступ</w:t>
      </w:r>
      <w:r w:rsidRPr="007C5908">
        <w:rPr>
          <w:rFonts w:ascii="Times New Roman" w:eastAsia="Times New Roman" w:hAnsi="Times New Roman" w:cs="Times New Roman"/>
          <w:sz w:val="28"/>
          <w:szCs w:val="28"/>
        </w:rPr>
        <w:t xml:space="preserve">. </w:t>
      </w:r>
      <w:r w:rsidR="0074361C" w:rsidRPr="007C5908">
        <w:rPr>
          <w:rFonts w:ascii="Times New Roman" w:eastAsia="Times New Roman" w:hAnsi="Times New Roman" w:cs="Times New Roman"/>
          <w:sz w:val="28"/>
          <w:szCs w:val="28"/>
        </w:rPr>
        <w:t>Економічна нестабільність, спричинена повномасштабним вторгненням та тривалими структурними змінами в економіці, суттєво ускладнила ведення бізнесу в Україні. За даними KSE Institute, понад 84 % підприємств відчули погіршення фінансового стану</w:t>
      </w:r>
      <w:r w:rsidR="00432AAE" w:rsidRPr="00432AAE">
        <w:rPr>
          <w:rFonts w:ascii="Times New Roman" w:eastAsia="Times New Roman" w:hAnsi="Times New Roman" w:cs="Times New Roman"/>
          <w:sz w:val="28"/>
          <w:szCs w:val="28"/>
          <w:lang w:val="ru-RU"/>
        </w:rPr>
        <w:t xml:space="preserve"> [</w:t>
      </w:r>
      <w:r w:rsidR="00A73DC0" w:rsidRPr="00A73DC0">
        <w:rPr>
          <w:rFonts w:ascii="Times New Roman" w:eastAsia="Times New Roman" w:hAnsi="Times New Roman" w:cs="Times New Roman"/>
          <w:sz w:val="28"/>
          <w:szCs w:val="28"/>
          <w:lang w:val="ru-RU"/>
        </w:rPr>
        <w:t>10</w:t>
      </w:r>
      <w:r w:rsidR="00432AAE" w:rsidRPr="00432AAE">
        <w:rPr>
          <w:rFonts w:ascii="Times New Roman" w:eastAsia="Times New Roman" w:hAnsi="Times New Roman" w:cs="Times New Roman"/>
          <w:sz w:val="28"/>
          <w:szCs w:val="28"/>
          <w:lang w:val="ru-RU"/>
        </w:rPr>
        <w:t>]</w:t>
      </w:r>
      <w:r w:rsidR="0074361C" w:rsidRPr="007C5908">
        <w:rPr>
          <w:rFonts w:ascii="Times New Roman" w:eastAsia="Times New Roman" w:hAnsi="Times New Roman" w:cs="Times New Roman"/>
          <w:sz w:val="28"/>
          <w:szCs w:val="28"/>
        </w:rPr>
        <w:t xml:space="preserve">, а загальні збитки бізнес-сектору перевищили 13 млрд дол. США, що </w:t>
      </w:r>
      <w:r w:rsidR="0074361C" w:rsidRPr="007C5908">
        <w:rPr>
          <w:rFonts w:ascii="Times New Roman" w:eastAsia="Times New Roman" w:hAnsi="Times New Roman" w:cs="Times New Roman"/>
          <w:sz w:val="28"/>
          <w:szCs w:val="28"/>
          <w:lang w:val="uk-UA"/>
        </w:rPr>
        <w:t>з</w:t>
      </w:r>
      <w:r w:rsidR="0074361C" w:rsidRPr="007C5908">
        <w:rPr>
          <w:rFonts w:ascii="Times New Roman" w:eastAsia="Times New Roman" w:hAnsi="Times New Roman" w:cs="Times New Roman"/>
          <w:sz w:val="28"/>
          <w:szCs w:val="28"/>
        </w:rPr>
        <w:t>умовлює зростання потреби в інвестиційних ресурсах та підвищення залежності від позикового капіталу</w:t>
      </w:r>
      <w:r w:rsidR="00631374" w:rsidRPr="007C5908">
        <w:rPr>
          <w:rFonts w:ascii="Times New Roman" w:eastAsia="Times New Roman" w:hAnsi="Times New Roman" w:cs="Times New Roman"/>
          <w:sz w:val="28"/>
          <w:szCs w:val="28"/>
          <w:lang w:val="ru-RU"/>
        </w:rPr>
        <w:t xml:space="preserve"> [</w:t>
      </w:r>
      <w:r w:rsidR="00A73DC0" w:rsidRPr="00A73DC0">
        <w:rPr>
          <w:rFonts w:ascii="Times New Roman" w:eastAsia="Times New Roman" w:hAnsi="Times New Roman" w:cs="Times New Roman"/>
          <w:sz w:val="28"/>
          <w:szCs w:val="28"/>
          <w:lang w:val="ru-RU"/>
        </w:rPr>
        <w:t>9</w:t>
      </w:r>
      <w:r w:rsidR="00631374" w:rsidRPr="007C5908">
        <w:rPr>
          <w:rFonts w:ascii="Times New Roman" w:eastAsia="Times New Roman" w:hAnsi="Times New Roman" w:cs="Times New Roman"/>
          <w:sz w:val="28"/>
          <w:szCs w:val="28"/>
          <w:lang w:val="ru-RU"/>
        </w:rPr>
        <w:t>]</w:t>
      </w:r>
      <w:r w:rsidR="0074361C" w:rsidRPr="007C5908">
        <w:rPr>
          <w:rFonts w:ascii="Times New Roman" w:eastAsia="Times New Roman" w:hAnsi="Times New Roman" w:cs="Times New Roman"/>
          <w:sz w:val="28"/>
          <w:szCs w:val="28"/>
        </w:rPr>
        <w:t>.</w:t>
      </w:r>
      <w:r w:rsidR="0074361C" w:rsidRPr="007C5908">
        <w:rPr>
          <w:rFonts w:ascii="Times New Roman" w:eastAsia="Times New Roman" w:hAnsi="Times New Roman" w:cs="Times New Roman"/>
          <w:sz w:val="28"/>
          <w:szCs w:val="28"/>
          <w:lang w:val="uk-UA"/>
        </w:rPr>
        <w:t xml:space="preserve"> </w:t>
      </w:r>
      <w:r w:rsidR="0074361C" w:rsidRPr="007C5908">
        <w:rPr>
          <w:rFonts w:ascii="Times New Roman" w:eastAsia="Times New Roman" w:hAnsi="Times New Roman" w:cs="Times New Roman"/>
          <w:sz w:val="28"/>
          <w:szCs w:val="28"/>
        </w:rPr>
        <w:t xml:space="preserve">Водночас Centre for Economic Strategy (CES) зазначає, що у 2025 </w:t>
      </w:r>
      <w:r w:rsidR="0074361C" w:rsidRPr="007C5908">
        <w:rPr>
          <w:rFonts w:ascii="Times New Roman" w:eastAsia="Times New Roman" w:hAnsi="Times New Roman" w:cs="Times New Roman"/>
          <w:sz w:val="28"/>
          <w:szCs w:val="28"/>
        </w:rPr>
        <w:lastRenderedPageBreak/>
        <w:t>році кредитування бізнесу продемонструвало зростання на 16 % більшим, ніж у 2024 році за той самий період, що вказує на підвищену потребу підприємств у зовнішніх джерелах фінансування в умовах високих ризиків [</w:t>
      </w:r>
      <w:r w:rsidR="00A73DC0" w:rsidRPr="00A73DC0">
        <w:rPr>
          <w:rFonts w:ascii="Times New Roman" w:eastAsia="Times New Roman" w:hAnsi="Times New Roman" w:cs="Times New Roman"/>
          <w:sz w:val="28"/>
          <w:szCs w:val="28"/>
          <w:lang w:val="uk-UA"/>
        </w:rPr>
        <w:t>7</w:t>
      </w:r>
      <w:r w:rsidR="0074361C" w:rsidRPr="007C5908">
        <w:rPr>
          <w:rFonts w:ascii="Times New Roman" w:eastAsia="Times New Roman" w:hAnsi="Times New Roman" w:cs="Times New Roman"/>
          <w:sz w:val="28"/>
          <w:szCs w:val="28"/>
        </w:rPr>
        <w:t>].</w:t>
      </w:r>
    </w:p>
    <w:p w:rsidR="00FB1803" w:rsidRPr="007C5908" w:rsidRDefault="0074361C" w:rsidP="00FB1803">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Проблема оптимізації структури джерел фінансування інвестиційної діяльності набуває особливого значення, оскільки саме її ефективність визначає рівень фінансової стійкості, інвестиційної спроможності та здатність підприємства забезпечувати розвиток у довгостроковій перспективі. У цьому контексті аналіз </w:t>
      </w:r>
      <w:r w:rsidR="00FB1803" w:rsidRPr="007C5908">
        <w:rPr>
          <w:rFonts w:ascii="Times New Roman" w:eastAsia="Times New Roman" w:hAnsi="Times New Roman" w:cs="Times New Roman"/>
          <w:sz w:val="28"/>
          <w:szCs w:val="28"/>
        </w:rPr>
        <w:t>реальної практики фінансування інвестиційної діяльності на рівні конкретного підприємства, зокрема малого чи середнього бізнесу, який є більш вразливим до зовнішніх змін</w:t>
      </w:r>
      <w:r w:rsidR="00FB1803" w:rsidRPr="007C5908">
        <w:rPr>
          <w:rFonts w:ascii="Times New Roman" w:eastAsia="Times New Roman" w:hAnsi="Times New Roman" w:cs="Times New Roman"/>
          <w:sz w:val="28"/>
          <w:szCs w:val="28"/>
          <w:lang w:val="uk-UA"/>
        </w:rPr>
        <w:t xml:space="preserve">, </w:t>
      </w:r>
      <w:r w:rsidR="00FB1803" w:rsidRPr="007C5908">
        <w:rPr>
          <w:rFonts w:ascii="Times New Roman" w:eastAsia="Times New Roman" w:hAnsi="Times New Roman" w:cs="Times New Roman"/>
          <w:sz w:val="28"/>
          <w:szCs w:val="28"/>
        </w:rPr>
        <w:t>але водночас здатний демонструвати високу гнучкість</w:t>
      </w:r>
      <w:r w:rsidR="00FB1803" w:rsidRPr="007C5908">
        <w:rPr>
          <w:rFonts w:ascii="Times New Roman" w:eastAsia="Times New Roman" w:hAnsi="Times New Roman" w:cs="Times New Roman"/>
          <w:sz w:val="28"/>
          <w:szCs w:val="28"/>
          <w:lang w:val="uk-UA"/>
        </w:rPr>
        <w:t>,</w:t>
      </w:r>
      <w:r w:rsidRPr="007C5908">
        <w:rPr>
          <w:rFonts w:ascii="Times New Roman" w:eastAsia="Times New Roman" w:hAnsi="Times New Roman" w:cs="Times New Roman"/>
          <w:sz w:val="28"/>
          <w:szCs w:val="28"/>
        </w:rPr>
        <w:t xml:space="preserve"> є показовим, адже підприємство функціонує в умовах підвищеної невизначеності та водночас демонструє інвестиційну активність, що робить його релевантним прикладом для дослідження.</w:t>
      </w:r>
    </w:p>
    <w:p w:rsidR="0074361C" w:rsidRPr="007C5908" w:rsidRDefault="0074361C" w:rsidP="0074361C">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Метою статті є аналіз фінансового стану ПП «Елана» та обґрунтування напрямів оптимізації структури джерел фінансування його інвестиційної діяльності в умовах економічної нестабільності.</w:t>
      </w:r>
    </w:p>
    <w:p w:rsidR="00623E00" w:rsidRPr="007C5908" w:rsidRDefault="00663B1C" w:rsidP="00280803">
      <w:pPr>
        <w:spacing w:after="0" w:line="360" w:lineRule="auto"/>
        <w:jc w:val="center"/>
        <w:rPr>
          <w:rFonts w:ascii="Times New Roman" w:eastAsia="Times New Roman" w:hAnsi="Times New Roman" w:cs="Times New Roman"/>
          <w:b/>
          <w:bCs/>
          <w:sz w:val="28"/>
          <w:szCs w:val="28"/>
        </w:rPr>
      </w:pPr>
      <w:r w:rsidRPr="007C5908">
        <w:rPr>
          <w:rFonts w:ascii="Times New Roman" w:eastAsia="Times New Roman" w:hAnsi="Times New Roman" w:cs="Times New Roman"/>
          <w:b/>
          <w:bCs/>
          <w:sz w:val="28"/>
          <w:szCs w:val="28"/>
        </w:rPr>
        <w:t>Виклад основного матеріалу</w:t>
      </w:r>
    </w:p>
    <w:p w:rsidR="00432AAE" w:rsidRDefault="00663B1C" w:rsidP="00631374">
      <w:pPr>
        <w:spacing w:after="0" w:line="360" w:lineRule="auto"/>
        <w:ind w:firstLine="720"/>
        <w:jc w:val="both"/>
        <w:rPr>
          <w:rFonts w:ascii="Times New Roman" w:hAnsi="Times New Roman" w:cs="Times New Roman"/>
          <w:sz w:val="28"/>
          <w:szCs w:val="28"/>
        </w:rPr>
      </w:pPr>
      <w:r w:rsidRPr="007C5908">
        <w:rPr>
          <w:rFonts w:ascii="Times New Roman" w:eastAsia="Times New Roman" w:hAnsi="Times New Roman" w:cs="Times New Roman"/>
          <w:sz w:val="28"/>
          <w:szCs w:val="28"/>
        </w:rPr>
        <w:t>Ефективна інвестиційна діяльність підприємств у сучасних умовах є надзвичайно важливим фактором їхньої конкурентоспроможності, здатності до довгострокового розвитку та швидкого і якісного реагування на зміни навколишнього середовища. В різні економічні період</w:t>
      </w:r>
      <w:r w:rsidR="00631374" w:rsidRPr="007C5908">
        <w:rPr>
          <w:rFonts w:ascii="Times New Roman" w:eastAsia="Times New Roman" w:hAnsi="Times New Roman" w:cs="Times New Roman"/>
          <w:sz w:val="28"/>
          <w:szCs w:val="28"/>
          <w:lang w:val="uk-UA"/>
        </w:rPr>
        <w:t>и</w:t>
      </w:r>
      <w:r w:rsidR="009C6D93" w:rsidRPr="007C5908">
        <w:rPr>
          <w:rFonts w:ascii="Times New Roman" w:eastAsia="Times New Roman" w:hAnsi="Times New Roman" w:cs="Times New Roman"/>
          <w:sz w:val="28"/>
          <w:szCs w:val="28"/>
          <w:lang w:val="uk-UA"/>
        </w:rPr>
        <w:t xml:space="preserve"> </w:t>
      </w:r>
      <w:r w:rsidR="00631374" w:rsidRPr="007C5908">
        <w:rPr>
          <w:rFonts w:ascii="Times New Roman" w:hAnsi="Times New Roman" w:cs="Times New Roman"/>
          <w:sz w:val="28"/>
          <w:szCs w:val="28"/>
        </w:rPr>
        <w:t xml:space="preserve">ефективність інвестиційних рішень значною мірою залежить від структури джерел фінансування, їх вартості та збалансованості. </w:t>
      </w:r>
    </w:p>
    <w:p w:rsidR="00631374" w:rsidRPr="007C5908" w:rsidRDefault="00631374" w:rsidP="00631374">
      <w:pPr>
        <w:spacing w:after="0" w:line="360" w:lineRule="auto"/>
        <w:ind w:firstLine="720"/>
        <w:jc w:val="both"/>
        <w:rPr>
          <w:rFonts w:ascii="Times New Roman" w:eastAsia="Times New Roman" w:hAnsi="Times New Roman" w:cs="Times New Roman"/>
          <w:sz w:val="28"/>
          <w:szCs w:val="28"/>
          <w:lang w:val="uk-UA"/>
        </w:rPr>
      </w:pPr>
      <w:r w:rsidRPr="007C5908">
        <w:rPr>
          <w:rFonts w:ascii="Times New Roman" w:eastAsia="Times New Roman" w:hAnsi="Times New Roman" w:cs="Times New Roman"/>
          <w:sz w:val="28"/>
          <w:szCs w:val="28"/>
        </w:rPr>
        <w:t>«Збалансована структура джерел формування капіталу є беззаперечною запорукою забезпечення довгострокової платоспроможності виробничо-економічної системи</w:t>
      </w:r>
      <w:r w:rsidR="00432AAE" w:rsidRPr="00432AAE">
        <w:rPr>
          <w:rFonts w:ascii="Times New Roman" w:eastAsia="Times New Roman" w:hAnsi="Times New Roman" w:cs="Times New Roman"/>
          <w:sz w:val="28"/>
          <w:szCs w:val="28"/>
          <w:lang w:val="ru-RU"/>
        </w:rPr>
        <w:t>.</w:t>
      </w:r>
      <w:r w:rsidRPr="007C5908">
        <w:rPr>
          <w:rFonts w:ascii="Times New Roman" w:eastAsia="Times New Roman" w:hAnsi="Times New Roman" w:cs="Times New Roman"/>
          <w:sz w:val="28"/>
          <w:szCs w:val="28"/>
        </w:rPr>
        <w:t>»</w:t>
      </w:r>
      <w:r w:rsidRPr="007C5908">
        <w:rPr>
          <w:rFonts w:ascii="Times New Roman" w:eastAsia="Times New Roman" w:hAnsi="Times New Roman" w:cs="Times New Roman"/>
          <w:sz w:val="28"/>
          <w:szCs w:val="28"/>
          <w:lang w:val="uk-UA"/>
        </w:rPr>
        <w:t xml:space="preserve"> </w:t>
      </w:r>
      <w:r w:rsidRPr="007C5908">
        <w:rPr>
          <w:rFonts w:ascii="Times New Roman" w:eastAsia="Times New Roman" w:hAnsi="Times New Roman" w:cs="Times New Roman"/>
          <w:sz w:val="28"/>
          <w:szCs w:val="28"/>
        </w:rPr>
        <w:t>[</w:t>
      </w:r>
      <w:r w:rsidR="00432AAE" w:rsidRPr="00432AAE">
        <w:rPr>
          <w:rFonts w:ascii="Times New Roman" w:eastAsia="Times New Roman" w:hAnsi="Times New Roman" w:cs="Times New Roman"/>
          <w:sz w:val="28"/>
          <w:szCs w:val="28"/>
          <w:lang w:val="ru-RU"/>
        </w:rPr>
        <w:t>3</w:t>
      </w:r>
      <w:r w:rsidRPr="007C5908">
        <w:rPr>
          <w:rFonts w:ascii="Times New Roman" w:eastAsia="Times New Roman" w:hAnsi="Times New Roman" w:cs="Times New Roman"/>
          <w:sz w:val="28"/>
          <w:szCs w:val="28"/>
        </w:rPr>
        <w:t>]</w:t>
      </w:r>
      <w:r w:rsidRPr="007C5908">
        <w:rPr>
          <w:rFonts w:ascii="Times New Roman" w:eastAsia="Times New Roman" w:hAnsi="Times New Roman" w:cs="Times New Roman"/>
          <w:sz w:val="28"/>
          <w:szCs w:val="28"/>
          <w:lang w:val="ru-RU"/>
        </w:rPr>
        <w:t>.</w:t>
      </w:r>
      <w:r w:rsidRPr="007C5908">
        <w:rPr>
          <w:rFonts w:ascii="Times New Roman" w:eastAsia="Times New Roman" w:hAnsi="Times New Roman" w:cs="Times New Roman"/>
          <w:sz w:val="28"/>
          <w:szCs w:val="28"/>
        </w:rPr>
        <w:t xml:space="preserve"> </w:t>
      </w:r>
      <w:r w:rsidRPr="007C5908">
        <w:rPr>
          <w:rFonts w:ascii="Times New Roman" w:hAnsi="Times New Roman" w:cs="Times New Roman"/>
          <w:sz w:val="28"/>
          <w:szCs w:val="28"/>
        </w:rPr>
        <w:t>Саме оптимальне поєднання власного й позикового капіталу визначає можливості підприємства реалізовувати інвестиційні проєкти та підтримувати фінансову стійкість у довгостроковій перспективі.</w:t>
      </w:r>
    </w:p>
    <w:p w:rsidR="00663B1C" w:rsidRPr="007C5908" w:rsidRDefault="00663B1C">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color w:val="000000"/>
          <w:sz w:val="28"/>
          <w:szCs w:val="28"/>
        </w:rPr>
        <w:t xml:space="preserve">Приватне підприємство «Елана» </w:t>
      </w:r>
      <w:r w:rsidRPr="007C5908">
        <w:rPr>
          <w:rFonts w:ascii="Times New Roman" w:eastAsia="Times New Roman" w:hAnsi="Times New Roman" w:cs="Times New Roman"/>
          <w:sz w:val="28"/>
          <w:szCs w:val="28"/>
        </w:rPr>
        <w:t>–</w:t>
      </w:r>
      <w:r w:rsidRPr="007C5908">
        <w:rPr>
          <w:rFonts w:ascii="Times New Roman" w:eastAsia="Times New Roman" w:hAnsi="Times New Roman" w:cs="Times New Roman"/>
          <w:color w:val="000000"/>
          <w:sz w:val="28"/>
          <w:szCs w:val="28"/>
        </w:rPr>
        <w:t xml:space="preserve"> це український виробник нетканих матеріалів</w:t>
      </w:r>
      <w:r w:rsidRPr="007C5908">
        <w:rPr>
          <w:rFonts w:ascii="Times New Roman" w:eastAsia="Times New Roman" w:hAnsi="Times New Roman" w:cs="Times New Roman"/>
          <w:sz w:val="28"/>
          <w:szCs w:val="28"/>
        </w:rPr>
        <w:t xml:space="preserve">, геотекстилю, войлоку та килимових покриттів,  </w:t>
      </w:r>
      <w:r w:rsidRPr="007C5908">
        <w:rPr>
          <w:rFonts w:ascii="Times New Roman" w:eastAsia="Times New Roman" w:hAnsi="Times New Roman" w:cs="Times New Roman"/>
          <w:color w:val="000000"/>
          <w:sz w:val="28"/>
          <w:szCs w:val="28"/>
        </w:rPr>
        <w:t xml:space="preserve">які виготовляються </w:t>
      </w:r>
      <w:r w:rsidRPr="007C5908">
        <w:rPr>
          <w:rFonts w:ascii="Times New Roman" w:eastAsia="Times New Roman" w:hAnsi="Times New Roman" w:cs="Times New Roman"/>
          <w:color w:val="000000"/>
          <w:sz w:val="28"/>
          <w:szCs w:val="28"/>
        </w:rPr>
        <w:lastRenderedPageBreak/>
        <w:t>на сучасному високотехнологічному обладнанні, розробленого за міжнародними стандартами, з використанням якісної сировини, та має всі сертифікати відповідності. Компанія експортує продукцію до Естонії, Польщі та Молдови, що свідчить про її конкурентоспроможність на міжнародному ринку</w:t>
      </w:r>
      <w:r w:rsidRPr="007C5908">
        <w:rPr>
          <w:rFonts w:ascii="Times New Roman" w:eastAsia="Times New Roman" w:hAnsi="Times New Roman" w:cs="Times New Roman"/>
          <w:b/>
          <w:bCs/>
          <w:sz w:val="28"/>
          <w:szCs w:val="28"/>
        </w:rPr>
        <w:t xml:space="preserve"> </w:t>
      </w:r>
      <w:r w:rsidRPr="007C5908">
        <w:rPr>
          <w:rFonts w:ascii="Times New Roman" w:eastAsia="Times New Roman" w:hAnsi="Times New Roman" w:cs="Times New Roman"/>
          <w:sz w:val="28"/>
          <w:szCs w:val="28"/>
        </w:rPr>
        <w:t>та зумовлює підвищені вимоги до якості та потребу в безупинному покращенні технологічної бази [</w:t>
      </w:r>
      <w:r w:rsidR="00A73DC0">
        <w:rPr>
          <w:rFonts w:ascii="Times New Roman" w:eastAsia="Times New Roman" w:hAnsi="Times New Roman" w:cs="Times New Roman"/>
          <w:sz w:val="28"/>
          <w:szCs w:val="28"/>
          <w:lang w:val="uk-UA"/>
        </w:rPr>
        <w:t>5</w:t>
      </w:r>
      <w:r w:rsidRPr="007C5908">
        <w:rPr>
          <w:rFonts w:ascii="Times New Roman" w:eastAsia="Times New Roman" w:hAnsi="Times New Roman" w:cs="Times New Roman"/>
          <w:sz w:val="28"/>
          <w:szCs w:val="28"/>
        </w:rPr>
        <w:t>].  Масштабність виробництва та необхідність підтримання конкурентоспроможності зумовлюють потребу у регулярному оновленні матеріально-технічної бази, що, своєю чергою, формує стабільний попит на інвестиційні ресурси та робить питання структури їх фінансування особливо актуальним.</w:t>
      </w:r>
    </w:p>
    <w:p w:rsidR="00623E00" w:rsidRPr="007C5908" w:rsidRDefault="00B3397F" w:rsidP="009E3C07">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У 2019–2024 рр. активи ПП «Елана» демонстрували стійку тенденцію до зростання, що свідчить про розширення виробничого потенціалу підприємства. Вартість основних засобів збільшилася більш ніж утричі, що зумовлено модернізацією обладнання та оновленням технологічних ліній</w:t>
      </w:r>
      <w:r w:rsidR="004368CD" w:rsidRPr="007C5908">
        <w:rPr>
          <w:rFonts w:ascii="Times New Roman" w:eastAsia="Times New Roman" w:hAnsi="Times New Roman" w:cs="Times New Roman"/>
          <w:sz w:val="28"/>
          <w:szCs w:val="28"/>
          <w:lang w:val="uk-UA"/>
        </w:rPr>
        <w:t>, в</w:t>
      </w:r>
      <w:r w:rsidR="004368CD" w:rsidRPr="007C5908">
        <w:rPr>
          <w:rFonts w:ascii="Times New Roman" w:eastAsia="Times New Roman" w:hAnsi="Times New Roman" w:cs="Times New Roman"/>
          <w:sz w:val="28"/>
          <w:szCs w:val="28"/>
        </w:rPr>
        <w:t xml:space="preserve">алюта балансу зросла з 54 059,4 тис. грн станом на кінець 2019 р. до 176 686,4 тис. грн на кінець 2024 </w:t>
      </w:r>
      <w:r w:rsidR="004368CD" w:rsidRPr="007C5908">
        <w:rPr>
          <w:rFonts w:ascii="Times New Roman" w:eastAsia="Times New Roman" w:hAnsi="Times New Roman" w:cs="Times New Roman"/>
          <w:sz w:val="28"/>
          <w:szCs w:val="28"/>
          <w:lang w:val="uk-UA"/>
        </w:rPr>
        <w:t xml:space="preserve">року. </w:t>
      </w:r>
      <w:r w:rsidR="004368CD" w:rsidRPr="007C5908">
        <w:rPr>
          <w:rFonts w:ascii="Times New Roman" w:eastAsia="Times New Roman" w:hAnsi="Times New Roman" w:cs="Times New Roman"/>
          <w:sz w:val="28"/>
          <w:szCs w:val="28"/>
        </w:rPr>
        <w:t>Оборотні активи також суттєво зросли, однак найбільш динамічним компонентом стала дебіторська заборгованість, темпи приросту якої випереджали зростання обсягів реалізації, формуючи ризики уповільнення оборотності капіталу.</w:t>
      </w:r>
      <w:r w:rsidR="009E3C07" w:rsidRPr="007C5908">
        <w:rPr>
          <w:rFonts w:ascii="Times New Roman" w:eastAsia="Times New Roman" w:hAnsi="Times New Roman" w:cs="Times New Roman"/>
          <w:sz w:val="28"/>
          <w:szCs w:val="28"/>
          <w:lang w:val="uk-UA"/>
        </w:rPr>
        <w:t xml:space="preserve"> </w:t>
      </w:r>
      <w:r w:rsidR="004368CD" w:rsidRPr="007C5908">
        <w:rPr>
          <w:rFonts w:ascii="Times New Roman" w:eastAsia="Times New Roman" w:hAnsi="Times New Roman" w:cs="Times New Roman"/>
          <w:sz w:val="28"/>
          <w:szCs w:val="28"/>
        </w:rPr>
        <w:t xml:space="preserve">Паралельно </w:t>
      </w:r>
      <w:r w:rsidR="009E3C07" w:rsidRPr="007C5908">
        <w:rPr>
          <w:rFonts w:ascii="Times New Roman" w:eastAsia="Times New Roman" w:hAnsi="Times New Roman" w:cs="Times New Roman"/>
          <w:sz w:val="28"/>
          <w:szCs w:val="28"/>
          <w:lang w:val="uk-UA"/>
        </w:rPr>
        <w:t>г</w:t>
      </w:r>
      <w:r w:rsidR="00663B1C" w:rsidRPr="007C5908">
        <w:rPr>
          <w:rFonts w:ascii="Times New Roman" w:eastAsia="Times New Roman" w:hAnsi="Times New Roman" w:cs="Times New Roman"/>
          <w:sz w:val="28"/>
          <w:szCs w:val="28"/>
        </w:rPr>
        <w:t xml:space="preserve">рошові кошти підприємства продемонстрували дещо змінну, проте зростаючу траєкторію. Якщо у 2019 р. їх обсяг становив 309,9 тис. грн, то станом на кінець 2024 р. — уже 14 307,4 тис. грн. </w:t>
      </w:r>
      <w:r w:rsidR="004368CD" w:rsidRPr="007C5908">
        <w:rPr>
          <w:rFonts w:ascii="Times New Roman" w:eastAsia="Times New Roman" w:hAnsi="Times New Roman" w:cs="Times New Roman"/>
          <w:sz w:val="28"/>
          <w:szCs w:val="28"/>
          <w:lang w:val="uk-UA"/>
        </w:rPr>
        <w:t xml:space="preserve">Це </w:t>
      </w:r>
      <w:r w:rsidR="004368CD" w:rsidRPr="007C5908">
        <w:rPr>
          <w:rFonts w:ascii="Times New Roman" w:eastAsia="Times New Roman" w:hAnsi="Times New Roman" w:cs="Times New Roman"/>
          <w:sz w:val="28"/>
          <w:szCs w:val="28"/>
        </w:rPr>
        <w:t>забезпечило підприємству додаткову фінансову гнучкість, проте не компенсувало негативних ефектів від диспропорцій у структурі оборотних ресурсів.</w:t>
      </w:r>
      <w:r w:rsidR="00663B1C" w:rsidRPr="007C5908">
        <w:rPr>
          <w:rFonts w:ascii="Times New Roman" w:eastAsia="Times New Roman" w:hAnsi="Times New Roman" w:cs="Times New Roman"/>
          <w:sz w:val="28"/>
          <w:szCs w:val="28"/>
        </w:rPr>
        <w:t xml:space="preserve"> </w:t>
      </w:r>
    </w:p>
    <w:p w:rsidR="009E3C07" w:rsidRPr="007C5908" w:rsidRDefault="004368CD" w:rsidP="009E3C07">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Поточні зобов’язання ПП «Елана» у 2019–2024 рр. зросли з 19 989,1 тис. грн до 99 471,4 тис. грн, тобто більш ніж у п’ять разів, що свідчить про суттєве посилення залежності від позикових ресурсів. Основними складовими є короткострокові кредити та кредиторська заборгованість постачальникам, частка яких істотно збільшилася. Така динаміка обумовлена обмеженим доступом до довгострокового фінансування та загальною нестабільністю </w:t>
      </w:r>
      <w:r w:rsidRPr="007C5908">
        <w:rPr>
          <w:rFonts w:ascii="Times New Roman" w:eastAsia="Times New Roman" w:hAnsi="Times New Roman" w:cs="Times New Roman"/>
          <w:sz w:val="28"/>
          <w:szCs w:val="28"/>
        </w:rPr>
        <w:lastRenderedPageBreak/>
        <w:t>воєнного періоду, у межах якого підприємства вимушено використовують короткі позикові інструменти. Значне нарощення боргового навантаження створює ризики для ліквідності та фінансової стійкості, особливо з огляду на випереджальні темпи зростання зобов’язань порівняно з власним капіталом</w:t>
      </w:r>
      <w:r w:rsidR="009E3C07" w:rsidRPr="007C5908">
        <w:rPr>
          <w:rFonts w:ascii="Times New Roman" w:eastAsia="Times New Roman" w:hAnsi="Times New Roman" w:cs="Times New Roman"/>
          <w:sz w:val="28"/>
          <w:szCs w:val="28"/>
        </w:rPr>
        <w:t xml:space="preserve"> [</w:t>
      </w:r>
      <w:r w:rsidR="00432AAE" w:rsidRPr="00432AAE">
        <w:rPr>
          <w:rFonts w:ascii="Times New Roman" w:eastAsia="Times New Roman" w:hAnsi="Times New Roman" w:cs="Times New Roman"/>
          <w:sz w:val="28"/>
          <w:szCs w:val="28"/>
        </w:rPr>
        <w:t>1</w:t>
      </w:r>
      <w:r w:rsidR="009E3C07" w:rsidRPr="007C5908">
        <w:rPr>
          <w:rFonts w:ascii="Times New Roman" w:eastAsia="Times New Roman" w:hAnsi="Times New Roman" w:cs="Times New Roman"/>
          <w:sz w:val="28"/>
          <w:szCs w:val="28"/>
        </w:rPr>
        <w:t>]</w:t>
      </w:r>
      <w:r w:rsidRPr="007C5908">
        <w:rPr>
          <w:rFonts w:ascii="Times New Roman" w:eastAsia="Times New Roman" w:hAnsi="Times New Roman" w:cs="Times New Roman"/>
          <w:sz w:val="28"/>
          <w:szCs w:val="28"/>
        </w:rPr>
        <w:t>.</w:t>
      </w:r>
    </w:p>
    <w:p w:rsidR="009E3C07" w:rsidRPr="007C5908" w:rsidRDefault="009E3C07" w:rsidP="004368CD">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У структурі капіталу ПП «Елана» спостерігається зростання власного капіталу, однак темпи його приросту істотно відстають від динаміки поточних зобов’язань. Це призводить до домінування позикових ресурсів у фінансуванні діяльності підприємства та підвищує чутливість до змін зовнішнього середовища. Незважаючи на часткове реінвестування прибутку, власних джерел недостатньо для покриття інвестиційних потреб, що поглиблює залежність від короткострокових кредитів. Така структура капіталу формує ризики фінансової нестійкості і вимагає переорієнтації на більш збалансоване співвідношення власних і позикових джерел.</w:t>
      </w:r>
    </w:p>
    <w:p w:rsidR="00623E00" w:rsidRPr="007C5908" w:rsidRDefault="00663B1C">
      <w:pPr>
        <w:widowControl w:val="0"/>
        <w:spacing w:after="0" w:line="360" w:lineRule="auto"/>
        <w:jc w:val="right"/>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Таблиця 1</w:t>
      </w:r>
    </w:p>
    <w:p w:rsidR="00623E00" w:rsidRPr="007C5908" w:rsidRDefault="00663B1C">
      <w:pPr>
        <w:widowControl w:val="0"/>
        <w:spacing w:after="0" w:line="360" w:lineRule="auto"/>
        <w:jc w:val="center"/>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Динаміка основних фінансових показників діяльності ПП “Елана” за 2019-20</w:t>
      </w:r>
      <w:r w:rsidR="00554932">
        <w:rPr>
          <w:rFonts w:ascii="Times New Roman" w:eastAsia="Times New Roman" w:hAnsi="Times New Roman" w:cs="Times New Roman"/>
          <w:sz w:val="28"/>
          <w:szCs w:val="28"/>
          <w:lang w:val="uk-UA"/>
        </w:rPr>
        <w:t>2</w:t>
      </w:r>
      <w:r w:rsidRPr="007C5908">
        <w:rPr>
          <w:rFonts w:ascii="Times New Roman" w:eastAsia="Times New Roman" w:hAnsi="Times New Roman" w:cs="Times New Roman"/>
          <w:sz w:val="28"/>
          <w:szCs w:val="28"/>
        </w:rPr>
        <w:t>4 рр.</w:t>
      </w:r>
    </w:p>
    <w:tbl>
      <w:tblPr>
        <w:tblStyle w:val="a5"/>
        <w:tblW w:w="9493" w:type="dxa"/>
        <w:tblInd w:w="0" w:type="dxa"/>
        <w:tblLayout w:type="fixed"/>
        <w:tblLook w:val="0400" w:firstRow="0" w:lastRow="0" w:firstColumn="0" w:lastColumn="0" w:noHBand="0" w:noVBand="1"/>
      </w:tblPr>
      <w:tblGrid>
        <w:gridCol w:w="1926"/>
        <w:gridCol w:w="954"/>
        <w:gridCol w:w="943"/>
        <w:gridCol w:w="749"/>
        <w:gridCol w:w="775"/>
        <w:gridCol w:w="885"/>
        <w:gridCol w:w="851"/>
        <w:gridCol w:w="992"/>
        <w:gridCol w:w="1418"/>
      </w:tblGrid>
      <w:tr w:rsidR="00623E00" w:rsidRPr="007C5908" w:rsidTr="009E3C07">
        <w:trPr>
          <w:trHeight w:val="828"/>
        </w:trPr>
        <w:tc>
          <w:tcPr>
            <w:tcW w:w="1926" w:type="dxa"/>
            <w:tcBorders>
              <w:top w:val="single" w:sz="4" w:space="0" w:color="000000"/>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Показник</w:t>
            </w:r>
          </w:p>
        </w:tc>
        <w:tc>
          <w:tcPr>
            <w:tcW w:w="954" w:type="dxa"/>
            <w:tcBorders>
              <w:top w:val="single" w:sz="4" w:space="0" w:color="000000"/>
              <w:left w:val="nil"/>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2019</w:t>
            </w:r>
          </w:p>
        </w:tc>
        <w:tc>
          <w:tcPr>
            <w:tcW w:w="943" w:type="dxa"/>
            <w:tcBorders>
              <w:top w:val="single" w:sz="4" w:space="0" w:color="000000"/>
              <w:left w:val="nil"/>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2020</w:t>
            </w:r>
          </w:p>
        </w:tc>
        <w:tc>
          <w:tcPr>
            <w:tcW w:w="749" w:type="dxa"/>
            <w:tcBorders>
              <w:top w:val="single" w:sz="4" w:space="0" w:color="000000"/>
              <w:left w:val="nil"/>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2021</w:t>
            </w:r>
          </w:p>
        </w:tc>
        <w:tc>
          <w:tcPr>
            <w:tcW w:w="775" w:type="dxa"/>
            <w:tcBorders>
              <w:top w:val="single" w:sz="4" w:space="0" w:color="000000"/>
              <w:left w:val="nil"/>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2022</w:t>
            </w:r>
          </w:p>
        </w:tc>
        <w:tc>
          <w:tcPr>
            <w:tcW w:w="885" w:type="dxa"/>
            <w:tcBorders>
              <w:top w:val="single" w:sz="4" w:space="0" w:color="000000"/>
              <w:left w:val="nil"/>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2023</w:t>
            </w:r>
          </w:p>
        </w:tc>
        <w:tc>
          <w:tcPr>
            <w:tcW w:w="851" w:type="dxa"/>
            <w:tcBorders>
              <w:top w:val="single" w:sz="4" w:space="0" w:color="000000"/>
              <w:left w:val="nil"/>
              <w:bottom w:val="single" w:sz="4" w:space="0" w:color="000000"/>
              <w:right w:val="single" w:sz="4" w:space="0" w:color="000000"/>
            </w:tcBorders>
          </w:tcPr>
          <w:p w:rsidR="00623E00" w:rsidRPr="007C5908" w:rsidRDefault="009E3C07"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2024</w:t>
            </w:r>
          </w:p>
        </w:tc>
        <w:tc>
          <w:tcPr>
            <w:tcW w:w="992" w:type="dxa"/>
            <w:tcBorders>
              <w:top w:val="single" w:sz="4" w:space="0" w:color="000000"/>
              <w:left w:val="single" w:sz="4" w:space="0" w:color="000000"/>
              <w:bottom w:val="single" w:sz="4" w:space="0" w:color="000000"/>
              <w:right w:val="single" w:sz="4" w:space="0" w:color="000000"/>
            </w:tcBorders>
            <w:vAlign w:val="center"/>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Відхилення 2025/2021 (+/–)</w:t>
            </w:r>
          </w:p>
        </w:tc>
        <w:tc>
          <w:tcPr>
            <w:tcW w:w="1418" w:type="dxa"/>
            <w:tcBorders>
              <w:top w:val="single" w:sz="4" w:space="0" w:color="000000"/>
              <w:left w:val="single" w:sz="4" w:space="0" w:color="000000"/>
              <w:bottom w:val="single" w:sz="4" w:space="0" w:color="000000"/>
              <w:right w:val="single" w:sz="4" w:space="0" w:color="000000"/>
            </w:tcBorders>
          </w:tcPr>
          <w:p w:rsidR="00623E00" w:rsidRPr="007C5908" w:rsidRDefault="00663B1C" w:rsidP="00280803">
            <w:pPr>
              <w:spacing w:after="0" w:line="240" w:lineRule="auto"/>
              <w:jc w:val="center"/>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Темп зростання, %</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Валюта балансу,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54059.4</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59238.9</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98804.5</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119333.4</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108765.2</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176686.4</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122627.0</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326.8</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Власний капітал,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34070.3</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37397.9</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48723.2</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52669.3</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63814.7</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77215.0</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43144.7</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rPr>
              <w:t>226.6</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Поточні зобов’язання,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19989.1</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21841.0</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50081.3</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66664.1</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44950.5</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99471.4</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79482.3</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sz w:val="24"/>
                <w:szCs w:val="24"/>
              </w:rPr>
            </w:pPr>
            <w:r w:rsidRPr="007C5908">
              <w:rPr>
                <w:rFonts w:ascii="Times New Roman" w:eastAsia="Times New Roman" w:hAnsi="Times New Roman" w:cs="Times New Roman"/>
              </w:rPr>
              <w:t>497.6</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Оборотні активи,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45325.5</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44291.6</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48498.6</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78368.6</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100465.4</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88383.7</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43058.2</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195.0</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Грошові кошти,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309.9</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1794.0</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7553.0</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8504.4</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3629.1</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14307.4</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13997.5</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4616.8</w:t>
            </w:r>
          </w:p>
        </w:tc>
      </w:tr>
      <w:tr w:rsidR="00623E00" w:rsidRPr="007C5908" w:rsidTr="009E3C07">
        <w:trPr>
          <w:trHeight w:val="540"/>
        </w:trPr>
        <w:tc>
          <w:tcPr>
            <w:tcW w:w="1926" w:type="dxa"/>
            <w:tcBorders>
              <w:top w:val="nil"/>
              <w:left w:val="single" w:sz="4" w:space="0" w:color="000000"/>
              <w:bottom w:val="single" w:sz="4" w:space="0" w:color="000000"/>
              <w:right w:val="single" w:sz="4" w:space="0" w:color="000000"/>
            </w:tcBorders>
            <w:vAlign w:val="center"/>
          </w:tcPr>
          <w:p w:rsidR="00623E00" w:rsidRPr="007C5908" w:rsidRDefault="00663B1C" w:rsidP="009E3C07">
            <w:pPr>
              <w:spacing w:after="0" w:line="240" w:lineRule="auto"/>
              <w:rPr>
                <w:rFonts w:ascii="Times New Roman" w:eastAsia="Times New Roman" w:hAnsi="Times New Roman" w:cs="Times New Roman"/>
                <w:color w:val="000000"/>
                <w:sz w:val="24"/>
                <w:szCs w:val="24"/>
              </w:rPr>
            </w:pPr>
            <w:r w:rsidRPr="007C5908">
              <w:rPr>
                <w:rFonts w:ascii="Times New Roman" w:eastAsia="Times New Roman" w:hAnsi="Times New Roman" w:cs="Times New Roman"/>
                <w:color w:val="000000"/>
                <w:sz w:val="24"/>
                <w:szCs w:val="24"/>
              </w:rPr>
              <w:t>Дебіторська заборгованість, тис. грн</w:t>
            </w:r>
          </w:p>
        </w:tc>
        <w:tc>
          <w:tcPr>
            <w:tcW w:w="954"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24162.8</w:t>
            </w:r>
          </w:p>
        </w:tc>
        <w:tc>
          <w:tcPr>
            <w:tcW w:w="943"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32171.9</w:t>
            </w:r>
          </w:p>
        </w:tc>
        <w:tc>
          <w:tcPr>
            <w:tcW w:w="749"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35104.3</w:t>
            </w:r>
          </w:p>
        </w:tc>
        <w:tc>
          <w:tcPr>
            <w:tcW w:w="77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47115.1</w:t>
            </w:r>
          </w:p>
        </w:tc>
        <w:tc>
          <w:tcPr>
            <w:tcW w:w="885"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45334.2</w:t>
            </w:r>
          </w:p>
        </w:tc>
        <w:tc>
          <w:tcPr>
            <w:tcW w:w="851" w:type="dxa"/>
            <w:tcBorders>
              <w:top w:val="nil"/>
              <w:left w:val="nil"/>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65048.3</w:t>
            </w:r>
          </w:p>
        </w:tc>
        <w:tc>
          <w:tcPr>
            <w:tcW w:w="992"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40885.5</w:t>
            </w:r>
          </w:p>
        </w:tc>
        <w:tc>
          <w:tcPr>
            <w:tcW w:w="1418" w:type="dxa"/>
            <w:tcBorders>
              <w:top w:val="nil"/>
              <w:left w:val="single" w:sz="4" w:space="0" w:color="000000"/>
              <w:bottom w:val="single" w:sz="4" w:space="0" w:color="000000"/>
              <w:right w:val="single" w:sz="4" w:space="0" w:color="000000"/>
            </w:tcBorders>
          </w:tcPr>
          <w:p w:rsidR="00623E00" w:rsidRPr="007C5908" w:rsidRDefault="00663B1C" w:rsidP="00280803">
            <w:pPr>
              <w:jc w:val="center"/>
              <w:rPr>
                <w:rFonts w:ascii="Times New Roman" w:eastAsia="Times New Roman" w:hAnsi="Times New Roman" w:cs="Times New Roman"/>
              </w:rPr>
            </w:pPr>
            <w:r w:rsidRPr="007C5908">
              <w:rPr>
                <w:rFonts w:ascii="Times New Roman" w:eastAsia="Times New Roman" w:hAnsi="Times New Roman" w:cs="Times New Roman"/>
              </w:rPr>
              <w:t>269.2</w:t>
            </w:r>
          </w:p>
        </w:tc>
      </w:tr>
    </w:tbl>
    <w:p w:rsidR="00623E00" w:rsidRPr="007C5908" w:rsidRDefault="00663B1C" w:rsidP="009E3C07">
      <w:pPr>
        <w:widowControl w:val="0"/>
        <w:spacing w:after="0" w:line="360" w:lineRule="auto"/>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lastRenderedPageBreak/>
        <w:t>*Джерело: складено авторами на основі фінансової звітності підприємства.</w:t>
      </w:r>
    </w:p>
    <w:p w:rsidR="00623E00" w:rsidRPr="007C5908" w:rsidRDefault="00623E00" w:rsidP="009E3C07">
      <w:pPr>
        <w:widowControl w:val="0"/>
        <w:spacing w:after="0" w:line="360" w:lineRule="auto"/>
        <w:rPr>
          <w:rFonts w:ascii="Times New Roman" w:eastAsia="Times New Roman" w:hAnsi="Times New Roman" w:cs="Times New Roman"/>
          <w:sz w:val="24"/>
          <w:szCs w:val="24"/>
        </w:rPr>
      </w:pPr>
    </w:p>
    <w:p w:rsidR="00623E00" w:rsidRPr="007C5908" w:rsidRDefault="00663B1C" w:rsidP="009E3C07">
      <w:pPr>
        <w:widowControl w:val="0"/>
        <w:spacing w:after="0" w:line="360" w:lineRule="auto"/>
        <w:jc w:val="center"/>
        <w:rPr>
          <w:rFonts w:ascii="Times New Roman" w:eastAsia="Times New Roman" w:hAnsi="Times New Roman" w:cs="Times New Roman"/>
          <w:sz w:val="28"/>
          <w:szCs w:val="28"/>
        </w:rPr>
      </w:pPr>
      <w:r w:rsidRPr="007C5908">
        <w:rPr>
          <w:rFonts w:ascii="Times New Roman" w:eastAsia="Times New Roman" w:hAnsi="Times New Roman" w:cs="Times New Roman"/>
          <w:noProof/>
          <w:sz w:val="28"/>
          <w:szCs w:val="28"/>
        </w:rPr>
        <w:drawing>
          <wp:inline distT="114300" distB="114300" distL="114300" distR="114300">
            <wp:extent cx="4251960" cy="2735580"/>
            <wp:effectExtent l="0" t="0" r="0" b="762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252481" cy="2735915"/>
                    </a:xfrm>
                    <a:prstGeom prst="rect">
                      <a:avLst/>
                    </a:prstGeom>
                    <a:ln/>
                  </pic:spPr>
                </pic:pic>
              </a:graphicData>
            </a:graphic>
          </wp:inline>
        </w:drawing>
      </w:r>
    </w:p>
    <w:p w:rsidR="00623E00" w:rsidRPr="007C5908" w:rsidRDefault="00663B1C">
      <w:pPr>
        <w:widowControl w:val="0"/>
        <w:spacing w:after="0" w:line="360" w:lineRule="auto"/>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*Джерело: складено авторами на основі фінансової звітності підприємства.</w:t>
      </w:r>
    </w:p>
    <w:p w:rsidR="00623E00" w:rsidRPr="007C5908" w:rsidRDefault="00663B1C">
      <w:pPr>
        <w:widowControl w:val="0"/>
        <w:spacing w:before="240" w:after="0" w:line="360" w:lineRule="auto"/>
        <w:jc w:val="right"/>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 Таблиця 2</w:t>
      </w:r>
    </w:p>
    <w:p w:rsidR="00623E00" w:rsidRPr="007C5908" w:rsidRDefault="00663B1C" w:rsidP="009E3C07">
      <w:pPr>
        <w:widowControl w:val="0"/>
        <w:spacing w:before="240" w:after="0" w:line="360" w:lineRule="auto"/>
        <w:jc w:val="center"/>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Розрахунок і динаміка </w:t>
      </w:r>
      <w:r w:rsidR="00554932">
        <w:rPr>
          <w:rFonts w:ascii="Times New Roman" w:eastAsia="Times New Roman" w:hAnsi="Times New Roman" w:cs="Times New Roman"/>
          <w:sz w:val="28"/>
          <w:szCs w:val="28"/>
          <w:lang w:val="uk-UA"/>
        </w:rPr>
        <w:t>коефіцієнтів ліквідності</w:t>
      </w:r>
      <w:r w:rsidRPr="007C5908">
        <w:rPr>
          <w:rFonts w:ascii="Times New Roman" w:eastAsia="Times New Roman" w:hAnsi="Times New Roman" w:cs="Times New Roman"/>
          <w:sz w:val="28"/>
          <w:szCs w:val="28"/>
        </w:rPr>
        <w:t xml:space="preserve"> ПП “Елана” за 2019-2024 рр.</w:t>
      </w:r>
    </w:p>
    <w:tbl>
      <w:tblPr>
        <w:tblStyle w:val="a6"/>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01"/>
        <w:gridCol w:w="1671"/>
        <w:gridCol w:w="612"/>
        <w:gridCol w:w="812"/>
        <w:gridCol w:w="812"/>
        <w:gridCol w:w="812"/>
        <w:gridCol w:w="812"/>
        <w:gridCol w:w="812"/>
      </w:tblGrid>
      <w:tr w:rsidR="00364512" w:rsidRPr="007C5908" w:rsidTr="00364512">
        <w:trPr>
          <w:trHeight w:val="359"/>
        </w:trPr>
        <w:tc>
          <w:tcPr>
            <w:tcW w:w="300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pPr>
              <w:widowControl w:val="0"/>
              <w:spacing w:after="0" w:line="276" w:lineRule="auto"/>
              <w:rPr>
                <w:rFonts w:ascii="Times New Roman" w:eastAsia="Arial" w:hAnsi="Times New Roman" w:cs="Times New Roman"/>
                <w:color w:val="1B1C1D"/>
                <w:sz w:val="24"/>
                <w:szCs w:val="24"/>
              </w:rPr>
            </w:pPr>
            <w:r w:rsidRPr="007C5908">
              <w:rPr>
                <w:rFonts w:ascii="Times New Roman" w:eastAsia="Arial" w:hAnsi="Times New Roman" w:cs="Times New Roman"/>
                <w:color w:val="1B1C1D"/>
                <w:sz w:val="24"/>
                <w:szCs w:val="24"/>
              </w:rPr>
              <w:t>Показник</w:t>
            </w:r>
          </w:p>
        </w:tc>
        <w:tc>
          <w:tcPr>
            <w:tcW w:w="167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pPr>
              <w:widowControl w:val="0"/>
              <w:spacing w:after="0" w:line="276" w:lineRule="auto"/>
              <w:rPr>
                <w:rFonts w:ascii="Times New Roman" w:eastAsia="Arial" w:hAnsi="Times New Roman" w:cs="Times New Roman"/>
                <w:sz w:val="24"/>
                <w:szCs w:val="24"/>
              </w:rPr>
            </w:pPr>
            <w:r w:rsidRPr="007C5908">
              <w:rPr>
                <w:rFonts w:ascii="Times New Roman" w:eastAsia="Arial" w:hAnsi="Times New Roman" w:cs="Times New Roman"/>
                <w:sz w:val="24"/>
                <w:szCs w:val="24"/>
              </w:rPr>
              <w:t>Нормативне значення</w:t>
            </w:r>
          </w:p>
        </w:tc>
        <w:tc>
          <w:tcPr>
            <w:tcW w:w="6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2019</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2020</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2021</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2022</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2023</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2024</w:t>
            </w:r>
          </w:p>
        </w:tc>
      </w:tr>
      <w:tr w:rsidR="00364512" w:rsidRPr="007C5908" w:rsidTr="00364512">
        <w:trPr>
          <w:trHeight w:val="359"/>
        </w:trPr>
        <w:tc>
          <w:tcPr>
            <w:tcW w:w="300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pPr>
              <w:widowControl w:val="0"/>
              <w:spacing w:after="0" w:line="276" w:lineRule="auto"/>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Коефіцієнт загальної ліквідності</w:t>
            </w:r>
          </w:p>
        </w:tc>
        <w:tc>
          <w:tcPr>
            <w:tcW w:w="167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&gt;2</w:t>
            </w:r>
          </w:p>
        </w:tc>
        <w:tc>
          <w:tcPr>
            <w:tcW w:w="6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2,22</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2,22</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1,56</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1,51</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1,98</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1,46</w:t>
            </w:r>
          </w:p>
        </w:tc>
      </w:tr>
      <w:tr w:rsidR="00364512" w:rsidRPr="007C5908" w:rsidTr="00364512">
        <w:trPr>
          <w:trHeight w:val="359"/>
        </w:trPr>
        <w:tc>
          <w:tcPr>
            <w:tcW w:w="300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pPr>
              <w:widowControl w:val="0"/>
              <w:spacing w:after="0" w:line="276" w:lineRule="auto"/>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Коефіцієнт швидкої ліквідності</w:t>
            </w:r>
          </w:p>
        </w:tc>
        <w:tc>
          <w:tcPr>
            <w:tcW w:w="167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&gt;1</w:t>
            </w:r>
          </w:p>
        </w:tc>
        <w:tc>
          <w:tcPr>
            <w:tcW w:w="6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1,70</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1,95</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1,11</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0,73</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1,62</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0,95</w:t>
            </w:r>
          </w:p>
        </w:tc>
      </w:tr>
      <w:tr w:rsidR="00364512" w:rsidRPr="007C5908" w:rsidTr="00364512">
        <w:trPr>
          <w:trHeight w:val="359"/>
        </w:trPr>
        <w:tc>
          <w:tcPr>
            <w:tcW w:w="300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pPr>
              <w:widowControl w:val="0"/>
              <w:spacing w:after="0" w:line="276" w:lineRule="auto"/>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Коефіцієнт абсолютної ліквідності</w:t>
            </w:r>
          </w:p>
        </w:tc>
        <w:tc>
          <w:tcPr>
            <w:tcW w:w="167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&gt;0.2</w:t>
            </w:r>
          </w:p>
        </w:tc>
        <w:tc>
          <w:tcPr>
            <w:tcW w:w="6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0,09</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0,35</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0,17</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0,05</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0,32</w:t>
            </w:r>
          </w:p>
        </w:tc>
        <w:tc>
          <w:tcPr>
            <w:tcW w:w="81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364512" w:rsidRPr="007C5908" w:rsidRDefault="00364512" w:rsidP="00280803">
            <w:pPr>
              <w:widowControl w:val="0"/>
              <w:spacing w:after="0" w:line="276" w:lineRule="auto"/>
              <w:jc w:val="center"/>
              <w:rPr>
                <w:rFonts w:ascii="Times New Roman" w:eastAsia="Arial" w:hAnsi="Times New Roman" w:cs="Times New Roman"/>
                <w:sz w:val="24"/>
                <w:szCs w:val="24"/>
              </w:rPr>
            </w:pPr>
            <w:r w:rsidRPr="007C5908">
              <w:rPr>
                <w:rFonts w:ascii="Times New Roman" w:eastAsia="Arial" w:hAnsi="Times New Roman" w:cs="Times New Roman"/>
                <w:color w:val="1B1C1D"/>
                <w:sz w:val="24"/>
                <w:szCs w:val="24"/>
              </w:rPr>
              <w:t>0,08</w:t>
            </w:r>
          </w:p>
        </w:tc>
      </w:tr>
    </w:tbl>
    <w:p w:rsidR="00623E00" w:rsidRPr="007C5908" w:rsidRDefault="009E3C07" w:rsidP="00364512">
      <w:pPr>
        <w:widowControl w:val="0"/>
        <w:spacing w:after="0" w:line="360" w:lineRule="auto"/>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*Джерело: складено авторами на основі фінансової звітності підприємства.</w:t>
      </w:r>
    </w:p>
    <w:p w:rsidR="00623E00" w:rsidRPr="007C5908" w:rsidRDefault="00623E00">
      <w:pPr>
        <w:spacing w:after="0" w:line="240" w:lineRule="auto"/>
        <w:jc w:val="center"/>
        <w:rPr>
          <w:rFonts w:ascii="Times New Roman" w:eastAsia="Times New Roman" w:hAnsi="Times New Roman" w:cs="Times New Roman"/>
          <w:sz w:val="24"/>
          <w:szCs w:val="24"/>
        </w:rPr>
      </w:pPr>
    </w:p>
    <w:p w:rsidR="00623E00" w:rsidRPr="007C5908" w:rsidRDefault="00663B1C">
      <w:pPr>
        <w:spacing w:after="0" w:line="240" w:lineRule="auto"/>
        <w:jc w:val="center"/>
        <w:rPr>
          <w:rFonts w:ascii="Times New Roman" w:eastAsia="Times New Roman" w:hAnsi="Times New Roman" w:cs="Times New Roman"/>
          <w:sz w:val="24"/>
          <w:szCs w:val="24"/>
        </w:rPr>
      </w:pPr>
      <w:r w:rsidRPr="007C5908">
        <w:rPr>
          <w:rFonts w:ascii="Times New Roman" w:eastAsia="Times New Roman" w:hAnsi="Times New Roman" w:cs="Times New Roman"/>
          <w:noProof/>
          <w:sz w:val="24"/>
          <w:szCs w:val="24"/>
        </w:rPr>
        <w:drawing>
          <wp:inline distT="114300" distB="114300" distL="114300" distR="114300">
            <wp:extent cx="2903058" cy="174871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03058" cy="1748711"/>
                    </a:xfrm>
                    <a:prstGeom prst="rect">
                      <a:avLst/>
                    </a:prstGeom>
                    <a:ln/>
                  </pic:spPr>
                </pic:pic>
              </a:graphicData>
            </a:graphic>
          </wp:inline>
        </w:drawing>
      </w:r>
    </w:p>
    <w:p w:rsidR="00623E00" w:rsidRPr="007C5908" w:rsidRDefault="00623E00">
      <w:pPr>
        <w:spacing w:after="0" w:line="240" w:lineRule="auto"/>
        <w:jc w:val="center"/>
        <w:rPr>
          <w:rFonts w:ascii="Times New Roman" w:eastAsia="Times New Roman" w:hAnsi="Times New Roman" w:cs="Times New Roman"/>
          <w:sz w:val="24"/>
          <w:szCs w:val="24"/>
        </w:rPr>
      </w:pPr>
    </w:p>
    <w:p w:rsidR="00623E00" w:rsidRPr="007C5908" w:rsidRDefault="009E3C07" w:rsidP="007C5908">
      <w:pPr>
        <w:widowControl w:val="0"/>
        <w:spacing w:after="0" w:line="360" w:lineRule="auto"/>
        <w:rPr>
          <w:rFonts w:ascii="Times New Roman" w:eastAsia="Times New Roman" w:hAnsi="Times New Roman" w:cs="Times New Roman"/>
          <w:sz w:val="24"/>
          <w:szCs w:val="24"/>
        </w:rPr>
      </w:pPr>
      <w:r w:rsidRPr="007C5908">
        <w:rPr>
          <w:rFonts w:ascii="Times New Roman" w:eastAsia="Times New Roman" w:hAnsi="Times New Roman" w:cs="Times New Roman"/>
          <w:sz w:val="24"/>
          <w:szCs w:val="24"/>
        </w:rPr>
        <w:t>*Джерело: складено авторами на основі фінансової звітності підприємства.</w:t>
      </w:r>
    </w:p>
    <w:p w:rsidR="00364512" w:rsidRPr="00364512" w:rsidRDefault="00364512" w:rsidP="00280803">
      <w:pPr>
        <w:spacing w:after="0" w:line="360" w:lineRule="auto"/>
        <w:ind w:firstLine="720"/>
        <w:jc w:val="both"/>
        <w:rPr>
          <w:rFonts w:ascii="Times New Roman" w:eastAsia="Times New Roman" w:hAnsi="Times New Roman" w:cs="Times New Roman"/>
          <w:sz w:val="28"/>
          <w:szCs w:val="28"/>
        </w:rPr>
      </w:pPr>
      <w:r w:rsidRPr="00364512">
        <w:rPr>
          <w:rFonts w:ascii="Times New Roman" w:eastAsia="Times New Roman" w:hAnsi="Times New Roman" w:cs="Times New Roman"/>
          <w:sz w:val="28"/>
          <w:szCs w:val="28"/>
        </w:rPr>
        <w:lastRenderedPageBreak/>
        <w:t>Аналіз коефіцієнтів ліквідності ПП «Елана» за 2019–2024 рр. свідчить про поступове погіршення спроможності підприємства покривати короткострокові зобов’язання. Коефіцієнт загальної ліквідності з рівня 2,22 у 2019–2020 рр., що перевищував норматив (&gt;2), знизився до 1,56 у 2021 р., 1,51 у 2022 р. та 1,46 у 2024 р., попри короткочасне покращення до 1,98 у 2023 р. Це вказує на зростання навантаження на оборотні активи та зменшення запасу фінансової гнучкості</w:t>
      </w:r>
      <w:r w:rsidR="00432AAE" w:rsidRPr="00432AAE">
        <w:rPr>
          <w:rFonts w:ascii="Times New Roman" w:eastAsia="Times New Roman" w:hAnsi="Times New Roman" w:cs="Times New Roman"/>
          <w:sz w:val="28"/>
          <w:szCs w:val="28"/>
          <w:lang w:val="ru-RU"/>
        </w:rPr>
        <w:t xml:space="preserve"> [4]</w:t>
      </w:r>
      <w:r w:rsidRPr="00364512">
        <w:rPr>
          <w:rFonts w:ascii="Times New Roman" w:eastAsia="Times New Roman" w:hAnsi="Times New Roman" w:cs="Times New Roman"/>
          <w:sz w:val="28"/>
          <w:szCs w:val="28"/>
        </w:rPr>
        <w:t>.</w:t>
      </w:r>
    </w:p>
    <w:p w:rsidR="00364512" w:rsidRPr="00364512" w:rsidRDefault="00364512" w:rsidP="00364512">
      <w:pPr>
        <w:spacing w:after="0" w:line="360" w:lineRule="auto"/>
        <w:ind w:firstLine="720"/>
        <w:jc w:val="both"/>
        <w:rPr>
          <w:rFonts w:ascii="Times New Roman" w:eastAsia="Times New Roman" w:hAnsi="Times New Roman" w:cs="Times New Roman"/>
          <w:sz w:val="28"/>
          <w:szCs w:val="28"/>
        </w:rPr>
      </w:pPr>
      <w:r w:rsidRPr="00364512">
        <w:rPr>
          <w:rFonts w:ascii="Times New Roman" w:eastAsia="Times New Roman" w:hAnsi="Times New Roman" w:cs="Times New Roman"/>
          <w:sz w:val="28"/>
          <w:szCs w:val="28"/>
        </w:rPr>
        <w:t>Коефіцієнт швидкої ліквідності також демонструє негативну динаміку: якщо у 2019–2020 рр. він становив 1,70–1,95, тобто перевищував нормативне значення (&gt;1), то у 2021–2022 рр. знизився до 1,11 та 0,73 відповідно, а у 2024 р. залишився на рівні 0,95. Це свідчить про збільшення частки повільно оборотних активів, передусім дебіторської заборгованості.</w:t>
      </w:r>
    </w:p>
    <w:p w:rsidR="00364512" w:rsidRPr="00364512" w:rsidRDefault="00364512" w:rsidP="00364512">
      <w:pPr>
        <w:spacing w:after="0" w:line="360" w:lineRule="auto"/>
        <w:ind w:firstLine="720"/>
        <w:jc w:val="both"/>
        <w:rPr>
          <w:rFonts w:ascii="Times New Roman" w:eastAsia="Times New Roman" w:hAnsi="Times New Roman" w:cs="Times New Roman"/>
          <w:sz w:val="28"/>
          <w:szCs w:val="28"/>
        </w:rPr>
      </w:pPr>
      <w:r w:rsidRPr="00364512">
        <w:rPr>
          <w:rFonts w:ascii="Times New Roman" w:eastAsia="Times New Roman" w:hAnsi="Times New Roman" w:cs="Times New Roman"/>
          <w:sz w:val="28"/>
          <w:szCs w:val="28"/>
        </w:rPr>
        <w:t>Абсолютна ліквідність підприємства перебуває на критично низькому рівні протягом більшості аналізованого періоду. За даними таблиці, показник становив 0,09 у 2019 р., зріс до 0,35 у 2020 р., але у 2022 р. впав до 0,05, що свідчить про майже повну відсутність миттєво ліквідних ресурсів. У 2023 р. відбулося покращення до 0,32, проте у 2024 р. значення знову знизилося до 0,08.</w:t>
      </w:r>
    </w:p>
    <w:p w:rsidR="00623E00" w:rsidRPr="007C5908" w:rsidRDefault="00663B1C" w:rsidP="00364512">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Узагальнюючи, можна зазначити, що у 2019–2020 рр. ПП «Елана» характеризувалося досить високою ліквідністю, однак у подальші роки відбулося її погіршення, зумовлене зміною структури оборотних активів, зростанням поточних зобов’язань та загальними фінансово-економічними наслідками війни. Незважаючи на окремі періоди покращення </w:t>
      </w:r>
      <w:r w:rsidR="00364512" w:rsidRPr="007C5908">
        <w:rPr>
          <w:rFonts w:ascii="Times New Roman" w:eastAsia="Times New Roman" w:hAnsi="Times New Roman" w:cs="Times New Roman"/>
          <w:sz w:val="28"/>
          <w:szCs w:val="28"/>
          <w:lang w:val="uk-UA"/>
        </w:rPr>
        <w:t>у 2023 році</w:t>
      </w:r>
      <w:r w:rsidRPr="007C5908">
        <w:rPr>
          <w:rFonts w:ascii="Times New Roman" w:eastAsia="Times New Roman" w:hAnsi="Times New Roman" w:cs="Times New Roman"/>
          <w:sz w:val="28"/>
          <w:szCs w:val="28"/>
        </w:rPr>
        <w:t>, підприємству необхідно посилити політику управління оборотним капіталом для забезпечення стабільного рівня ліквідності та зниження ризику неплатоспроможності</w:t>
      </w:r>
      <w:r w:rsidR="00432AAE" w:rsidRPr="00432AAE">
        <w:rPr>
          <w:rFonts w:ascii="Times New Roman" w:eastAsia="Times New Roman" w:hAnsi="Times New Roman" w:cs="Times New Roman"/>
          <w:sz w:val="28"/>
          <w:szCs w:val="28"/>
        </w:rPr>
        <w:t xml:space="preserve"> [</w:t>
      </w:r>
      <w:r w:rsidR="00A73DC0" w:rsidRPr="00A73DC0">
        <w:rPr>
          <w:rFonts w:ascii="Times New Roman" w:eastAsia="Times New Roman" w:hAnsi="Times New Roman" w:cs="Times New Roman"/>
          <w:sz w:val="28"/>
          <w:szCs w:val="28"/>
        </w:rPr>
        <w:t>7</w:t>
      </w:r>
      <w:r w:rsidR="00432AAE" w:rsidRPr="00432AAE">
        <w:rPr>
          <w:rFonts w:ascii="Times New Roman" w:eastAsia="Times New Roman" w:hAnsi="Times New Roman" w:cs="Times New Roman"/>
          <w:sz w:val="28"/>
          <w:szCs w:val="28"/>
        </w:rPr>
        <w:t>]</w:t>
      </w:r>
      <w:r w:rsidRPr="007C5908">
        <w:rPr>
          <w:rFonts w:ascii="Times New Roman" w:eastAsia="Times New Roman" w:hAnsi="Times New Roman" w:cs="Times New Roman"/>
          <w:sz w:val="28"/>
          <w:szCs w:val="28"/>
        </w:rPr>
        <w:t>.</w:t>
      </w:r>
    </w:p>
    <w:p w:rsid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На основі проведеного аналізу пропонуємо сформувати основні орієнтири оптимізації структури джерел фінансування інвестиційної діяльності ПП «Елана». </w:t>
      </w:r>
    </w:p>
    <w:p w:rsidR="00554932" w:rsidRDefault="00554932" w:rsidP="007C5908">
      <w:pPr>
        <w:spacing w:after="0" w:line="360" w:lineRule="auto"/>
        <w:ind w:firstLine="720"/>
        <w:jc w:val="both"/>
        <w:rPr>
          <w:rFonts w:ascii="Times New Roman" w:eastAsia="Times New Roman" w:hAnsi="Times New Roman" w:cs="Times New Roman"/>
          <w:sz w:val="28"/>
          <w:szCs w:val="28"/>
          <w:highlight w:val="yellow"/>
        </w:rPr>
      </w:pPr>
    </w:p>
    <w:p w:rsidR="00554932" w:rsidRDefault="00554932" w:rsidP="007C5908">
      <w:pPr>
        <w:spacing w:after="0" w:line="360" w:lineRule="auto"/>
        <w:ind w:firstLine="720"/>
        <w:jc w:val="both"/>
        <w:rPr>
          <w:rFonts w:ascii="Times New Roman" w:eastAsia="Times New Roman" w:hAnsi="Times New Roman" w:cs="Times New Roman"/>
          <w:sz w:val="28"/>
          <w:szCs w:val="28"/>
          <w:highlight w:val="yellow"/>
        </w:rPr>
      </w:pPr>
    </w:p>
    <w:p w:rsidR="00554932" w:rsidRPr="007C5908" w:rsidRDefault="00554932" w:rsidP="007C5908">
      <w:pPr>
        <w:spacing w:after="0" w:line="360" w:lineRule="auto"/>
        <w:ind w:firstLine="720"/>
        <w:jc w:val="both"/>
        <w:rPr>
          <w:rFonts w:ascii="Times New Roman" w:eastAsia="Times New Roman" w:hAnsi="Times New Roman" w:cs="Times New Roman"/>
          <w:sz w:val="28"/>
          <w:szCs w:val="28"/>
          <w:highlight w:val="yellow"/>
        </w:rPr>
      </w:pPr>
    </w:p>
    <w:p w:rsidR="00623E00" w:rsidRPr="007C5908" w:rsidRDefault="007C5908" w:rsidP="007C5908">
      <w:pPr>
        <w:spacing w:after="0" w:line="360" w:lineRule="auto"/>
        <w:ind w:left="7200" w:firstLine="720"/>
        <w:jc w:val="both"/>
        <w:rPr>
          <w:rFonts w:ascii="Times New Roman" w:eastAsia="Times New Roman" w:hAnsi="Times New Roman" w:cs="Times New Roman"/>
          <w:sz w:val="28"/>
          <w:szCs w:val="28"/>
          <w:highlight w:val="yellow"/>
          <w:lang w:val="uk-UA"/>
        </w:rPr>
      </w:pPr>
      <w:r w:rsidRPr="007C5908">
        <w:rPr>
          <w:rFonts w:ascii="Times New Roman" w:eastAsia="Times New Roman" w:hAnsi="Times New Roman" w:cs="Times New Roman"/>
          <w:sz w:val="28"/>
          <w:szCs w:val="28"/>
          <w:lang w:val="uk-UA"/>
        </w:rPr>
        <w:t>Схема 1</w:t>
      </w:r>
    </w:p>
    <w:p w:rsidR="00623E00" w:rsidRPr="007C5908" w:rsidRDefault="00663B1C">
      <w:pPr>
        <w:spacing w:after="0" w:line="360" w:lineRule="auto"/>
        <w:jc w:val="both"/>
        <w:rPr>
          <w:rFonts w:ascii="Times New Roman" w:eastAsia="Times New Roman" w:hAnsi="Times New Roman" w:cs="Times New Roman"/>
          <w:sz w:val="28"/>
          <w:szCs w:val="28"/>
        </w:rPr>
      </w:pPr>
      <w:r w:rsidRPr="007C5908">
        <w:rPr>
          <w:rFonts w:ascii="Times New Roman" w:eastAsia="Times New Roman" w:hAnsi="Times New Roman" w:cs="Times New Roman"/>
          <w:noProof/>
          <w:sz w:val="28"/>
          <w:szCs w:val="28"/>
        </w:rPr>
        <w:drawing>
          <wp:inline distT="114300" distB="114300" distL="114300" distR="114300">
            <wp:extent cx="5940115" cy="3708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0115" cy="3708400"/>
                    </a:xfrm>
                    <a:prstGeom prst="rect">
                      <a:avLst/>
                    </a:prstGeom>
                    <a:ln/>
                  </pic:spPr>
                </pic:pic>
              </a:graphicData>
            </a:graphic>
          </wp:inline>
        </w:drawing>
      </w:r>
    </w:p>
    <w:p w:rsidR="007C5908" w:rsidRPr="007C5908" w:rsidRDefault="007C5908" w:rsidP="007C5908">
      <w:pPr>
        <w:widowControl w:val="0"/>
        <w:spacing w:after="0" w:line="360" w:lineRule="auto"/>
        <w:rPr>
          <w:rFonts w:ascii="Times New Roman" w:eastAsia="Times New Roman" w:hAnsi="Times New Roman" w:cs="Times New Roman"/>
          <w:sz w:val="24"/>
          <w:szCs w:val="24"/>
          <w:lang w:val="uk-UA"/>
        </w:rPr>
      </w:pPr>
      <w:r w:rsidRPr="007C5908">
        <w:rPr>
          <w:rFonts w:ascii="Times New Roman" w:eastAsia="Times New Roman" w:hAnsi="Times New Roman" w:cs="Times New Roman"/>
          <w:sz w:val="24"/>
          <w:szCs w:val="24"/>
        </w:rPr>
        <w:t>*Джерело: складено авторами</w:t>
      </w:r>
      <w:r w:rsidRPr="007C5908">
        <w:rPr>
          <w:rFonts w:ascii="Times New Roman" w:eastAsia="Times New Roman" w:hAnsi="Times New Roman" w:cs="Times New Roman"/>
          <w:sz w:val="24"/>
          <w:szCs w:val="24"/>
          <w:lang w:val="uk-UA"/>
        </w:rPr>
        <w:t>.</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Оптимізація структури джерел фінансування інвестиційної діяльності ПП «Елана» передбачає формування комплексного підходу, у межах якого першочерговою є орієнтація на збільшення внутрішніх ресурсів за рахунок реінвестування прибутку, що забезпечує підприємству підвищення фінансової автономії. Поряд із цим важливим напрямом є активніше залучення довгострокових фінансових інструментів, зокрема банківських кредитів та механізмів фінансового й оперативного лізингу, що дозволяють зменшити залежність від короткострокових зобов’язань і забезпечити модернізацію основних засобів. Використання факторингу може сприяти прискоренню обороту дебіторської заборгованості та покращенню ліквідності.</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 xml:space="preserve">Значну роль відіграє й удосконалення управління оборотним капіталом, яке охоплює як оптимізацію дебіторської заборгованості шляхом скорочення строків її погашення, так і раціоналізацію кредиторської заборгованості через підвищення дисципліни платежів. Паралельно підприємство має </w:t>
      </w:r>
      <w:r w:rsidRPr="007C5908">
        <w:rPr>
          <w:rFonts w:ascii="Times New Roman" w:eastAsia="Times New Roman" w:hAnsi="Times New Roman" w:cs="Times New Roman"/>
          <w:sz w:val="28"/>
          <w:szCs w:val="28"/>
        </w:rPr>
        <w:lastRenderedPageBreak/>
        <w:t>диверсифікувати джерела інвестиційного фінансування, розширюючи використання грантів, державних програм підтримки бізнесу та міжнародної допомоги, що дає змогу зменшити фінансові ризики й знизити вартість залучених ресурсів.</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lang w:val="uk-UA"/>
        </w:rPr>
      </w:pPr>
      <w:r w:rsidRPr="007C5908">
        <w:rPr>
          <w:rFonts w:ascii="Times New Roman" w:eastAsia="Times New Roman" w:hAnsi="Times New Roman" w:cs="Times New Roman"/>
          <w:sz w:val="28"/>
          <w:szCs w:val="28"/>
        </w:rPr>
        <w:t>Важливою складовою системи управління фінансами повинно стати впровадження фінансового контролінгу, який забезпечує системний аналіз фінансових потоків, планування інвестиційних потреб та прогнозування структури капіталу. Такий підхід дозволяє оперативно реагувати на зміни зовнішнього середовища та підтримувати оптимальний баланс між власними й позиковими ресурсами. Додатково підприємству доцільно розвивати партнерства з фінансовими установами, постачальниками та іншими учасниками ринку, що сприятиме розширенню доступу до фінансових ресурсів і підвищенню гнучкості фінансування.</w:t>
      </w:r>
    </w:p>
    <w:p w:rsidR="00364512" w:rsidRPr="007C5908" w:rsidRDefault="00663B1C"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Таким чином, оптимізація структури джерел фінансування ПП «Елана» передбачає комплекс заходів, спрямованих на збільшення частки стабільних і довгострокових ресурсів, зниження боргового навантаження, ефективніше управління оборотними активами та розширення доступу до інструментів зовнішньої підтримки. Реалізація цих заходів сприятиме зміцненню фінансової стійкості підприємства та забезпечить стале продовження його інвестиційної діяльності в умовах воєнної та післявоєнної економіки України.</w:t>
      </w:r>
    </w:p>
    <w:p w:rsidR="00280803" w:rsidRDefault="00663B1C" w:rsidP="00280803">
      <w:pPr>
        <w:spacing w:after="0" w:line="360" w:lineRule="auto"/>
        <w:jc w:val="center"/>
        <w:rPr>
          <w:rFonts w:ascii="Times New Roman" w:eastAsia="Times New Roman" w:hAnsi="Times New Roman" w:cs="Times New Roman"/>
          <w:b/>
          <w:bCs/>
          <w:sz w:val="28"/>
          <w:szCs w:val="28"/>
          <w:lang w:val="uk-UA"/>
        </w:rPr>
      </w:pPr>
      <w:bookmarkStart w:id="2" w:name="_le4zzenjmonz" w:colFirst="0" w:colLast="0"/>
      <w:bookmarkEnd w:id="2"/>
      <w:r w:rsidRPr="007C5908">
        <w:rPr>
          <w:rFonts w:ascii="Times New Roman" w:eastAsia="Times New Roman" w:hAnsi="Times New Roman" w:cs="Times New Roman"/>
          <w:b/>
          <w:bCs/>
          <w:sz w:val="28"/>
          <w:szCs w:val="28"/>
        </w:rPr>
        <w:t>Висновки</w:t>
      </w:r>
    </w:p>
    <w:p w:rsidR="007C5908" w:rsidRPr="007C5908" w:rsidRDefault="007C5908" w:rsidP="00280803">
      <w:pPr>
        <w:spacing w:after="0" w:line="360" w:lineRule="auto"/>
        <w:ind w:firstLine="720"/>
        <w:jc w:val="both"/>
        <w:rPr>
          <w:rFonts w:ascii="Times New Roman" w:eastAsia="Times New Roman" w:hAnsi="Times New Roman" w:cs="Times New Roman"/>
          <w:b/>
          <w:bCs/>
          <w:sz w:val="28"/>
          <w:szCs w:val="28"/>
          <w:lang w:val="uk-UA"/>
        </w:rPr>
      </w:pPr>
      <w:r w:rsidRPr="007C5908">
        <w:rPr>
          <w:rFonts w:ascii="Times New Roman" w:eastAsia="Times New Roman" w:hAnsi="Times New Roman" w:cs="Times New Roman"/>
          <w:sz w:val="28"/>
          <w:szCs w:val="28"/>
        </w:rPr>
        <w:t xml:space="preserve">Проведене дослідження дало змогу комплексно охарактеризувати фінансовий стан та структуру джерел фінансування ПП «Елана» у 2019–2024 рр., враховуючи вплив економічної нестабільності та зовнішніх кризових чинників. Встановлено, що хоча підприємство зберігає інвестиційну активність і демонструє позитивну динаміку зростання активів та модернізації основних засобів, його фінансова структура характеризується суттєвими дисбалансами. Зокрема, домінування короткострокових зобов’язань у структурі капіталу, значне зростання кредиторської заборгованості та </w:t>
      </w:r>
      <w:r w:rsidRPr="007C5908">
        <w:rPr>
          <w:rFonts w:ascii="Times New Roman" w:eastAsia="Times New Roman" w:hAnsi="Times New Roman" w:cs="Times New Roman"/>
          <w:sz w:val="28"/>
          <w:szCs w:val="28"/>
        </w:rPr>
        <w:lastRenderedPageBreak/>
        <w:t>зниження показників ліквідності свідчать про підвищені ризики у сфері поточного фінансування та загрозу зниження боргової стійкості.</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Аналіз ліквідності виявив негативну тенденцію скорочення показників загальної, швидкої та абсолютної ліквідності, що вказує на обмеженість швидко мобілізованих фінансових ресурсів та зростаючу залежність від короткострокових позикових інструментів</w:t>
      </w:r>
      <w:r w:rsidR="00432AAE" w:rsidRPr="00432AAE">
        <w:rPr>
          <w:rFonts w:ascii="Times New Roman" w:eastAsia="Times New Roman" w:hAnsi="Times New Roman" w:cs="Times New Roman"/>
          <w:sz w:val="28"/>
          <w:szCs w:val="28"/>
          <w:lang w:val="uk-UA"/>
        </w:rPr>
        <w:t xml:space="preserve"> [</w:t>
      </w:r>
      <w:r w:rsidR="00A73DC0" w:rsidRPr="00A73DC0">
        <w:rPr>
          <w:rFonts w:ascii="Times New Roman" w:eastAsia="Times New Roman" w:hAnsi="Times New Roman" w:cs="Times New Roman"/>
          <w:sz w:val="28"/>
          <w:szCs w:val="28"/>
          <w:lang w:val="uk-UA"/>
        </w:rPr>
        <w:t>8</w:t>
      </w:r>
      <w:bookmarkStart w:id="3" w:name="_GoBack"/>
      <w:bookmarkEnd w:id="3"/>
      <w:r w:rsidR="00432AAE" w:rsidRPr="00432AAE">
        <w:rPr>
          <w:rFonts w:ascii="Times New Roman" w:eastAsia="Times New Roman" w:hAnsi="Times New Roman" w:cs="Times New Roman"/>
          <w:sz w:val="28"/>
          <w:szCs w:val="28"/>
          <w:lang w:val="uk-UA"/>
        </w:rPr>
        <w:t>]</w:t>
      </w:r>
      <w:r w:rsidRPr="007C5908">
        <w:rPr>
          <w:rFonts w:ascii="Times New Roman" w:eastAsia="Times New Roman" w:hAnsi="Times New Roman" w:cs="Times New Roman"/>
          <w:sz w:val="28"/>
          <w:szCs w:val="28"/>
        </w:rPr>
        <w:t>. Водночас уповільнення оборотності оборотного капіталу, зумовлене приростом дебіторської заборгованості, поглиблює проблему фінансової гнучкості та збільшує ризики неплатоспроможності. Сукупність цих факторів формує потребу у переорієнтації фінансової політики підприємства на забезпечення більш збалансованої структури капіталу.</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Запропоновані у статті напрями оптимізації структури фінансування — посилення внутрішніх джерел, активніше використання довгострокових фінансових інструментів, підвищення ефективності управління оборотним капіталом, диверсифікація зовнішніх джерел інвестицій та впровадження системи фінансового контролінгу — створюють основу для формування стійкої моделі фінансового забезпечення інвестиційної діяльності ПП «Елана». Їх реалізація дозволить зменшити боргове навантаження, покращити ліквідність, забезпечити стабільність грошових потоків та підвищити здатність підприємства адаптуватися до змін зовнішнього середовища.</w:t>
      </w:r>
    </w:p>
    <w:p w:rsidR="007C5908" w:rsidRPr="007C5908" w:rsidRDefault="007C5908" w:rsidP="007C5908">
      <w:pPr>
        <w:spacing w:after="0" w:line="360" w:lineRule="auto"/>
        <w:ind w:firstLine="720"/>
        <w:jc w:val="both"/>
        <w:rPr>
          <w:rFonts w:ascii="Times New Roman" w:eastAsia="Times New Roman" w:hAnsi="Times New Roman" w:cs="Times New Roman"/>
          <w:sz w:val="28"/>
          <w:szCs w:val="28"/>
        </w:rPr>
      </w:pPr>
      <w:r w:rsidRPr="007C5908">
        <w:rPr>
          <w:rFonts w:ascii="Times New Roman" w:eastAsia="Times New Roman" w:hAnsi="Times New Roman" w:cs="Times New Roman"/>
          <w:sz w:val="28"/>
          <w:szCs w:val="28"/>
        </w:rPr>
        <w:t>Загалом результати дослідження засвідчують, що правильна структуризація джерел фінансування інвестиційної діяльності має вирішальне значення для зміцнення фінансової стійкості підприємства, особливо у воєнний та післявоєнний період. Впровадження запропонованих заходів сприятиме не лише стабілізації фінансового стану ПП «Елана», але й забезпечить основу для подальшого розвитку, розширення інвестиційних можливостей та зростання конкурентоспроможності на внутрішньому й зовнішніх ринках.</w:t>
      </w:r>
    </w:p>
    <w:p w:rsidR="007C5908" w:rsidRPr="00280803" w:rsidRDefault="00280803" w:rsidP="00280803">
      <w:pPr>
        <w:widowControl w:val="0"/>
        <w:spacing w:after="0" w:line="360" w:lineRule="auto"/>
        <w:jc w:val="center"/>
        <w:rPr>
          <w:rFonts w:ascii="Times New Roman" w:hAnsi="Times New Roman" w:cs="Times New Roman"/>
          <w:b/>
          <w:bCs/>
          <w:sz w:val="28"/>
          <w:szCs w:val="28"/>
        </w:rPr>
      </w:pPr>
      <w:r w:rsidRPr="00483A93">
        <w:rPr>
          <w:rFonts w:ascii="Times New Roman" w:hAnsi="Times New Roman" w:cs="Times New Roman"/>
          <w:b/>
          <w:bCs/>
          <w:sz w:val="28"/>
          <w:szCs w:val="28"/>
        </w:rPr>
        <w:t>Список використаних джерел</w:t>
      </w:r>
    </w:p>
    <w:p w:rsidR="002431D8" w:rsidRPr="00B82CE4" w:rsidRDefault="002431D8"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 xml:space="preserve">1. </w:t>
      </w:r>
      <w:r w:rsidRPr="002431D8">
        <w:rPr>
          <w:rFonts w:ascii="Times New Roman" w:eastAsia="Times New Roman" w:hAnsi="Times New Roman" w:cs="Times New Roman"/>
          <w:sz w:val="28"/>
          <w:szCs w:val="28"/>
        </w:rPr>
        <w:t>Крейдич І. М., Наконечна О. С., Харченко О. С. Умови забезпечення платоспроможності підприємств в контексті їх фінансової безпеки.</w:t>
      </w:r>
      <w:r w:rsidRPr="002431D8">
        <w:rPr>
          <w:rFonts w:ascii="Times New Roman" w:eastAsia="Times New Roman" w:hAnsi="Times New Roman" w:cs="Times New Roman"/>
          <w:sz w:val="28"/>
          <w:szCs w:val="28"/>
        </w:rPr>
        <w:br/>
        <w:t>URL</w:t>
      </w:r>
      <w:r w:rsidR="00B82CE4" w:rsidRPr="00B82CE4">
        <w:rPr>
          <w:rFonts w:ascii="Times New Roman" w:eastAsia="Times New Roman" w:hAnsi="Times New Roman" w:cs="Times New Roman"/>
          <w:sz w:val="28"/>
          <w:szCs w:val="28"/>
        </w:rPr>
        <w:t xml:space="preserve">: </w:t>
      </w:r>
      <w:hyperlink r:id="rId9" w:history="1">
        <w:r w:rsidR="00B82CE4" w:rsidRPr="00B82CE4">
          <w:rPr>
            <w:rStyle w:val="a9"/>
            <w:rFonts w:ascii="Times New Roman" w:eastAsia="Times New Roman" w:hAnsi="Times New Roman" w:cs="Times New Roman"/>
            <w:sz w:val="28"/>
            <w:szCs w:val="28"/>
          </w:rPr>
          <w:t>https://surl.lu/nvrsvq</w:t>
        </w:r>
      </w:hyperlink>
      <w:r w:rsidR="00B82CE4" w:rsidRPr="00B82CE4">
        <w:rPr>
          <w:rFonts w:ascii="Times New Roman" w:eastAsia="Times New Roman" w:hAnsi="Times New Roman" w:cs="Times New Roman"/>
          <w:sz w:val="28"/>
          <w:szCs w:val="28"/>
        </w:rPr>
        <w:t xml:space="preserve"> </w:t>
      </w:r>
      <w:r w:rsidRPr="002431D8">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lang w:val="uk-UA"/>
        </w:rPr>
        <w:t>19</w:t>
      </w:r>
      <w:r w:rsidRPr="002431D8">
        <w:rPr>
          <w:rFonts w:ascii="Times New Roman" w:eastAsia="Times New Roman" w:hAnsi="Times New Roman" w:cs="Times New Roman"/>
          <w:sz w:val="28"/>
          <w:szCs w:val="28"/>
        </w:rPr>
        <w:t>.11.2025).</w:t>
      </w:r>
    </w:p>
    <w:p w:rsidR="002431D8" w:rsidRPr="002431D8" w:rsidRDefault="002431D8" w:rsidP="002431D8">
      <w:pPr>
        <w:pStyle w:val="ab"/>
        <w:widowControl w:val="0"/>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Pr="00483A93">
        <w:rPr>
          <w:rFonts w:ascii="Times New Roman" w:hAnsi="Times New Roman" w:cs="Times New Roman"/>
          <w:sz w:val="28"/>
          <w:szCs w:val="28"/>
        </w:rPr>
        <w:t>Міністерство економіки України. Аналітичні матеріали щодо стану бізнесу в умовах воєнного стану. — 2023–2025.</w:t>
      </w:r>
    </w:p>
    <w:p w:rsidR="002431D8" w:rsidRDefault="002431D8"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3. </w:t>
      </w:r>
      <w:r w:rsidRPr="002431D8">
        <w:rPr>
          <w:rFonts w:ascii="Times New Roman" w:eastAsia="Times New Roman" w:hAnsi="Times New Roman" w:cs="Times New Roman"/>
          <w:sz w:val="28"/>
          <w:szCs w:val="28"/>
        </w:rPr>
        <w:t xml:space="preserve">Павлов І. П. Інвестиційна діяльність підприємства в умовах воєнної кризи: проблеми та напрями оптимізації. </w:t>
      </w:r>
      <w:r w:rsidRPr="002431D8">
        <w:rPr>
          <w:rFonts w:ascii="Times New Roman" w:eastAsia="Times New Roman" w:hAnsi="Times New Roman" w:cs="Times New Roman"/>
          <w:i/>
          <w:iCs/>
          <w:sz w:val="28"/>
          <w:szCs w:val="28"/>
        </w:rPr>
        <w:t>Бізнес-Інформ</w:t>
      </w:r>
      <w:r w:rsidRPr="002431D8">
        <w:rPr>
          <w:rFonts w:ascii="Times New Roman" w:eastAsia="Times New Roman" w:hAnsi="Times New Roman" w:cs="Times New Roman"/>
          <w:sz w:val="28"/>
          <w:szCs w:val="28"/>
        </w:rPr>
        <w:t>, 2023, № 5, с. 21–27.</w:t>
      </w:r>
      <w:r w:rsidRPr="002431D8">
        <w:rPr>
          <w:rFonts w:ascii="Times New Roman" w:eastAsia="Times New Roman" w:hAnsi="Times New Roman" w:cs="Times New Roman"/>
          <w:sz w:val="28"/>
          <w:szCs w:val="28"/>
        </w:rPr>
        <w:br/>
        <w:t xml:space="preserve">URL: </w:t>
      </w:r>
      <w:hyperlink r:id="rId10" w:tgtFrame="_new" w:history="1">
        <w:r w:rsidRPr="002431D8">
          <w:rPr>
            <w:rStyle w:val="a9"/>
            <w:rFonts w:ascii="Times New Roman" w:eastAsia="Times New Roman" w:hAnsi="Times New Roman" w:cs="Times New Roman"/>
            <w:sz w:val="28"/>
            <w:szCs w:val="28"/>
          </w:rPr>
          <w:t>https://surl.li/</w:t>
        </w:r>
      </w:hyperlink>
      <w:r w:rsidRPr="002431D8">
        <w:rPr>
          <w:rFonts w:ascii="Times New Roman" w:eastAsia="Times New Roman" w:hAnsi="Times New Roman" w:cs="Times New Roman"/>
          <w:sz w:val="28"/>
          <w:szCs w:val="28"/>
        </w:rPr>
        <w:t xml:space="preserve"> (дата звернення: </w:t>
      </w:r>
      <w:r w:rsidR="00B82CE4">
        <w:rPr>
          <w:rFonts w:ascii="Times New Roman" w:eastAsia="Times New Roman" w:hAnsi="Times New Roman" w:cs="Times New Roman"/>
          <w:sz w:val="28"/>
          <w:szCs w:val="28"/>
          <w:lang w:val="uk-UA"/>
        </w:rPr>
        <w:t>19</w:t>
      </w:r>
      <w:r w:rsidRPr="002431D8">
        <w:rPr>
          <w:rFonts w:ascii="Times New Roman" w:eastAsia="Times New Roman" w:hAnsi="Times New Roman" w:cs="Times New Roman"/>
          <w:sz w:val="28"/>
          <w:szCs w:val="28"/>
        </w:rPr>
        <w:t>.11.2025).</w:t>
      </w:r>
    </w:p>
    <w:p w:rsidR="002431D8" w:rsidRDefault="002431D8"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4. </w:t>
      </w:r>
      <w:r w:rsidRPr="002431D8">
        <w:rPr>
          <w:rFonts w:ascii="Times New Roman" w:eastAsia="Times New Roman" w:hAnsi="Times New Roman" w:cs="Times New Roman"/>
          <w:sz w:val="28"/>
          <w:szCs w:val="28"/>
        </w:rPr>
        <w:t xml:space="preserve">Розрахунок коефіцієнтів ліквідності за балансом, урахування фінансових і виробничих особливостей підприємства під час здійснення коефіцієнтного аналізу ліквідності. </w:t>
      </w:r>
      <w:r w:rsidRPr="002431D8">
        <w:rPr>
          <w:rFonts w:ascii="Times New Roman" w:eastAsia="Times New Roman" w:hAnsi="Times New Roman" w:cs="Times New Roman"/>
          <w:i/>
          <w:iCs/>
          <w:sz w:val="28"/>
          <w:szCs w:val="28"/>
        </w:rPr>
        <w:t>Economy and Society</w:t>
      </w:r>
      <w:r w:rsidRPr="002431D8">
        <w:rPr>
          <w:rFonts w:ascii="Times New Roman" w:eastAsia="Times New Roman" w:hAnsi="Times New Roman" w:cs="Times New Roman"/>
          <w:sz w:val="28"/>
          <w:szCs w:val="28"/>
        </w:rPr>
        <w:t>, Вип. 15.</w:t>
      </w:r>
      <w:r w:rsidRPr="002431D8">
        <w:rPr>
          <w:rFonts w:ascii="Times New Roman" w:eastAsia="Times New Roman" w:hAnsi="Times New Roman" w:cs="Times New Roman"/>
          <w:sz w:val="28"/>
          <w:szCs w:val="28"/>
        </w:rPr>
        <w:br/>
        <w:t xml:space="preserve">URL: </w:t>
      </w:r>
      <w:hyperlink r:id="rId11" w:history="1">
        <w:r w:rsidR="00B82CE4" w:rsidRPr="00152B87">
          <w:rPr>
            <w:rStyle w:val="a9"/>
            <w:rFonts w:ascii="Times New Roman" w:eastAsia="Times New Roman" w:hAnsi="Times New Roman" w:cs="Times New Roman"/>
            <w:sz w:val="28"/>
            <w:szCs w:val="28"/>
          </w:rPr>
          <w:t>https://surl.li/jhnvey</w:t>
        </w:r>
      </w:hyperlink>
      <w:r w:rsidR="00B82CE4">
        <w:rPr>
          <w:rFonts w:ascii="Times New Roman" w:eastAsia="Times New Roman" w:hAnsi="Times New Roman" w:cs="Times New Roman"/>
          <w:sz w:val="28"/>
          <w:szCs w:val="28"/>
          <w:lang w:val="en-US"/>
        </w:rPr>
        <w:t xml:space="preserve"> </w:t>
      </w:r>
      <w:r w:rsidRPr="002431D8">
        <w:rPr>
          <w:rFonts w:ascii="Times New Roman" w:eastAsia="Times New Roman" w:hAnsi="Times New Roman" w:cs="Times New Roman"/>
          <w:sz w:val="28"/>
          <w:szCs w:val="28"/>
        </w:rPr>
        <w:t xml:space="preserve">(дата звернення: </w:t>
      </w:r>
      <w:r w:rsidR="00B82CE4">
        <w:rPr>
          <w:rFonts w:ascii="Times New Roman" w:eastAsia="Times New Roman" w:hAnsi="Times New Roman" w:cs="Times New Roman"/>
          <w:sz w:val="28"/>
          <w:szCs w:val="28"/>
          <w:lang w:val="uk-UA"/>
        </w:rPr>
        <w:t>18</w:t>
      </w:r>
      <w:r w:rsidRPr="002431D8">
        <w:rPr>
          <w:rFonts w:ascii="Times New Roman" w:eastAsia="Times New Roman" w:hAnsi="Times New Roman" w:cs="Times New Roman"/>
          <w:sz w:val="28"/>
          <w:szCs w:val="28"/>
        </w:rPr>
        <w:t>.11.2025).</w:t>
      </w:r>
    </w:p>
    <w:p w:rsidR="00A73DC0" w:rsidRP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5.</w:t>
      </w:r>
      <w:r w:rsidRPr="00492FC5">
        <w:rPr>
          <w:rFonts w:ascii="Times New Roman" w:eastAsia="Times New Roman" w:hAnsi="Times New Roman" w:cs="Times New Roman"/>
          <w:sz w:val="28"/>
          <w:szCs w:val="28"/>
        </w:rPr>
        <w:t>Приватне підприємство «Елана». Про підприємство.</w:t>
      </w:r>
      <w:r w:rsidRPr="00492FC5">
        <w:rPr>
          <w:rFonts w:ascii="Times New Roman" w:eastAsia="Times New Roman" w:hAnsi="Times New Roman" w:cs="Times New Roman"/>
          <w:sz w:val="28"/>
          <w:szCs w:val="28"/>
        </w:rPr>
        <w:br/>
        <w:t xml:space="preserve">URL: </w:t>
      </w:r>
      <w:hyperlink r:id="rId12" w:tgtFrame="_new" w:history="1">
        <w:r w:rsidRPr="00492FC5">
          <w:rPr>
            <w:rStyle w:val="a9"/>
            <w:rFonts w:ascii="Times New Roman" w:eastAsia="Times New Roman" w:hAnsi="Times New Roman" w:cs="Times New Roman"/>
            <w:sz w:val="28"/>
            <w:szCs w:val="28"/>
          </w:rPr>
          <w:t>https://elana.in.ua/ua/about_us</w:t>
        </w:r>
      </w:hyperlink>
      <w:r w:rsidRPr="00492FC5">
        <w:rPr>
          <w:rFonts w:ascii="Times New Roman" w:eastAsia="Times New Roman" w:hAnsi="Times New Roman" w:cs="Times New Roman"/>
          <w:sz w:val="28"/>
          <w:szCs w:val="28"/>
        </w:rPr>
        <w:t xml:space="preserve"> (дата звернення: </w:t>
      </w:r>
      <w:r>
        <w:rPr>
          <w:rFonts w:ascii="Times New Roman" w:eastAsia="Times New Roman" w:hAnsi="Times New Roman" w:cs="Times New Roman"/>
          <w:sz w:val="28"/>
          <w:szCs w:val="28"/>
          <w:lang w:val="uk-UA"/>
        </w:rPr>
        <w:t>18</w:t>
      </w:r>
      <w:r w:rsidRPr="00492FC5">
        <w:rPr>
          <w:rFonts w:ascii="Times New Roman" w:eastAsia="Times New Roman" w:hAnsi="Times New Roman" w:cs="Times New Roman"/>
          <w:sz w:val="28"/>
          <w:szCs w:val="28"/>
        </w:rPr>
        <w:t>.11.2025).</w:t>
      </w:r>
    </w:p>
    <w:p w:rsid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6</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Breuer A., Frumusanu M. L., Breuer B. L., Manciu A. Cash and Liquidity / Liquidity and Liquidity Ratio. </w:t>
      </w:r>
      <w:r w:rsidR="002431D8" w:rsidRPr="002431D8">
        <w:rPr>
          <w:rFonts w:ascii="Times New Roman" w:eastAsia="Times New Roman" w:hAnsi="Times New Roman" w:cs="Times New Roman"/>
          <w:i/>
          <w:iCs/>
          <w:sz w:val="28"/>
          <w:szCs w:val="28"/>
        </w:rPr>
        <w:t>Annals – Economy Series</w:t>
      </w:r>
      <w:r w:rsidR="002431D8" w:rsidRPr="002431D8">
        <w:rPr>
          <w:rFonts w:ascii="Times New Roman" w:eastAsia="Times New Roman" w:hAnsi="Times New Roman" w:cs="Times New Roman"/>
          <w:sz w:val="28"/>
          <w:szCs w:val="28"/>
        </w:rPr>
        <w:t>, 2012, № 4, с. 78–82.</w:t>
      </w:r>
      <w:r w:rsidR="002431D8" w:rsidRPr="002431D8">
        <w:rPr>
          <w:rFonts w:ascii="Times New Roman" w:eastAsia="Times New Roman" w:hAnsi="Times New Roman" w:cs="Times New Roman"/>
          <w:sz w:val="28"/>
          <w:szCs w:val="28"/>
        </w:rPr>
        <w:br/>
        <w:t xml:space="preserve">URL: </w:t>
      </w:r>
      <w:r w:rsidR="00B82CE4" w:rsidRPr="00B82CE4">
        <w:rPr>
          <w:rFonts w:ascii="Times New Roman" w:eastAsia="Times New Roman" w:hAnsi="Times New Roman" w:cs="Times New Roman"/>
          <w:sz w:val="28"/>
          <w:szCs w:val="28"/>
        </w:rPr>
        <w:t>https://surl.li/ttrpua</w:t>
      </w:r>
      <w:r w:rsidR="00B82CE4" w:rsidRPr="00B82CE4">
        <w:rPr>
          <w:rFonts w:ascii="Times New Roman" w:eastAsia="Times New Roman" w:hAnsi="Times New Roman" w:cs="Times New Roman"/>
          <w:sz w:val="28"/>
          <w:szCs w:val="28"/>
        </w:rPr>
        <w:t xml:space="preserve"> </w:t>
      </w:r>
      <w:r w:rsidR="002431D8" w:rsidRPr="002431D8">
        <w:rPr>
          <w:rFonts w:ascii="Times New Roman" w:eastAsia="Times New Roman" w:hAnsi="Times New Roman" w:cs="Times New Roman"/>
          <w:sz w:val="28"/>
          <w:szCs w:val="28"/>
        </w:rPr>
        <w:t xml:space="preserve">(дата звернення: </w:t>
      </w:r>
      <w:r w:rsidR="00B82CE4">
        <w:rPr>
          <w:rFonts w:ascii="Times New Roman" w:eastAsia="Times New Roman" w:hAnsi="Times New Roman" w:cs="Times New Roman"/>
          <w:sz w:val="28"/>
          <w:szCs w:val="28"/>
          <w:lang w:val="uk-UA"/>
        </w:rPr>
        <w:t>18</w:t>
      </w:r>
      <w:r w:rsidR="002431D8" w:rsidRPr="002431D8">
        <w:rPr>
          <w:rFonts w:ascii="Times New Roman" w:eastAsia="Times New Roman" w:hAnsi="Times New Roman" w:cs="Times New Roman"/>
          <w:sz w:val="28"/>
          <w:szCs w:val="28"/>
        </w:rPr>
        <w:t>.11.2025).</w:t>
      </w:r>
    </w:p>
    <w:p w:rsidR="002431D8" w:rsidRP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7</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Centre for Economic Strategy (CES). Tracker: Economy During the War. Аналітичний огляд економічних умов у воєнний період, 2025.</w:t>
      </w:r>
      <w:r w:rsidR="002431D8" w:rsidRPr="002431D8">
        <w:rPr>
          <w:rFonts w:ascii="Times New Roman" w:eastAsia="Times New Roman" w:hAnsi="Times New Roman" w:cs="Times New Roman"/>
          <w:sz w:val="28"/>
          <w:szCs w:val="28"/>
        </w:rPr>
        <w:br/>
        <w:t xml:space="preserve">URL: </w:t>
      </w:r>
      <w:hyperlink r:id="rId13" w:history="1">
        <w:r w:rsidR="00B82CE4" w:rsidRPr="00152B87">
          <w:rPr>
            <w:rStyle w:val="a9"/>
            <w:rFonts w:ascii="Times New Roman" w:eastAsia="Times New Roman" w:hAnsi="Times New Roman" w:cs="Times New Roman"/>
            <w:sz w:val="28"/>
            <w:szCs w:val="28"/>
          </w:rPr>
          <w:t>https://surl.li/ctbeik</w:t>
        </w:r>
      </w:hyperlink>
      <w:r w:rsidR="00B82CE4">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(дата звернення: </w:t>
      </w:r>
      <w:r w:rsidR="00B82CE4">
        <w:rPr>
          <w:rFonts w:ascii="Times New Roman" w:eastAsia="Times New Roman" w:hAnsi="Times New Roman" w:cs="Times New Roman"/>
          <w:sz w:val="28"/>
          <w:szCs w:val="28"/>
          <w:lang w:val="uk-UA"/>
        </w:rPr>
        <w:t>19</w:t>
      </w:r>
      <w:r w:rsidR="002431D8" w:rsidRPr="002431D8">
        <w:rPr>
          <w:rFonts w:ascii="Times New Roman" w:eastAsia="Times New Roman" w:hAnsi="Times New Roman" w:cs="Times New Roman"/>
          <w:sz w:val="28"/>
          <w:szCs w:val="28"/>
        </w:rPr>
        <w:t>.11.2025).</w:t>
      </w:r>
    </w:p>
    <w:p w:rsidR="002431D8" w:rsidRP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8</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Costea C. D., Hostiuc F. The liquidity ratios and their significance in the financial equilibrium of the firms. </w:t>
      </w:r>
      <w:r w:rsidR="002431D8" w:rsidRPr="002431D8">
        <w:rPr>
          <w:rFonts w:ascii="Times New Roman" w:eastAsia="Times New Roman" w:hAnsi="Times New Roman" w:cs="Times New Roman"/>
          <w:i/>
          <w:iCs/>
          <w:sz w:val="28"/>
          <w:szCs w:val="28"/>
        </w:rPr>
        <w:t>The USV Annals of Economics and Public Administration</w:t>
      </w:r>
      <w:r w:rsidR="002431D8" w:rsidRPr="002431D8">
        <w:rPr>
          <w:rFonts w:ascii="Times New Roman" w:eastAsia="Times New Roman" w:hAnsi="Times New Roman" w:cs="Times New Roman"/>
          <w:sz w:val="28"/>
          <w:szCs w:val="28"/>
        </w:rPr>
        <w:t>, 2009,</w:t>
      </w:r>
    </w:p>
    <w:p w:rsidR="002431D8" w:rsidRP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9</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KSE Institute. Ukraine: Firms Through the War. Аналітичний звіт щодо впливу повномасштабного вторгнення на фінансовий стан підприємств, 2023.</w:t>
      </w:r>
      <w:r w:rsidR="002431D8" w:rsidRPr="002431D8">
        <w:rPr>
          <w:rFonts w:ascii="Times New Roman" w:eastAsia="Times New Roman" w:hAnsi="Times New Roman" w:cs="Times New Roman"/>
          <w:sz w:val="28"/>
          <w:szCs w:val="28"/>
        </w:rPr>
        <w:br/>
        <w:t xml:space="preserve">URL: </w:t>
      </w:r>
      <w:hyperlink r:id="rId14" w:history="1">
        <w:r w:rsidR="00B82CE4" w:rsidRPr="00152B87">
          <w:rPr>
            <w:rStyle w:val="a9"/>
            <w:rFonts w:ascii="Times New Roman" w:eastAsia="Times New Roman" w:hAnsi="Times New Roman" w:cs="Times New Roman"/>
            <w:sz w:val="28"/>
            <w:szCs w:val="28"/>
          </w:rPr>
          <w:t>https://surl.li/mznkas</w:t>
        </w:r>
      </w:hyperlink>
      <w:r w:rsidR="00B82CE4">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(дата звернення: </w:t>
      </w:r>
      <w:r w:rsidR="00B82CE4">
        <w:rPr>
          <w:rFonts w:ascii="Times New Roman" w:eastAsia="Times New Roman" w:hAnsi="Times New Roman" w:cs="Times New Roman"/>
          <w:sz w:val="28"/>
          <w:szCs w:val="28"/>
          <w:lang w:val="uk-UA"/>
        </w:rPr>
        <w:t>19</w:t>
      </w:r>
      <w:r w:rsidR="002431D8" w:rsidRPr="002431D8">
        <w:rPr>
          <w:rFonts w:ascii="Times New Roman" w:eastAsia="Times New Roman" w:hAnsi="Times New Roman" w:cs="Times New Roman"/>
          <w:sz w:val="28"/>
          <w:szCs w:val="28"/>
        </w:rPr>
        <w:t>.11.2025).</w:t>
      </w:r>
    </w:p>
    <w:p w:rsidR="002431D8" w:rsidRPr="002431D8" w:rsidRDefault="00A73DC0" w:rsidP="002431D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10</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KSE Institute. The Damage to the Ukrainian Business Sector Caused by the Russian Aggression. Аналітичний звіт щодо втрат бізнес-сектору України, 2023.</w:t>
      </w:r>
      <w:r w:rsidR="002431D8">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URL: </w:t>
      </w:r>
      <w:hyperlink r:id="rId15" w:history="1">
        <w:r w:rsidR="00B82CE4" w:rsidRPr="00152B87">
          <w:rPr>
            <w:rStyle w:val="a9"/>
            <w:rFonts w:ascii="Times New Roman" w:eastAsia="Times New Roman" w:hAnsi="Times New Roman" w:cs="Times New Roman"/>
            <w:sz w:val="28"/>
            <w:szCs w:val="28"/>
          </w:rPr>
          <w:t>https://surl.li/odnjtb</w:t>
        </w:r>
      </w:hyperlink>
      <w:r w:rsidR="00B82CE4">
        <w:rPr>
          <w:rFonts w:ascii="Times New Roman" w:eastAsia="Times New Roman" w:hAnsi="Times New Roman" w:cs="Times New Roman"/>
          <w:sz w:val="28"/>
          <w:szCs w:val="28"/>
          <w:lang w:val="uk-UA"/>
        </w:rPr>
        <w:t xml:space="preserve"> </w:t>
      </w:r>
      <w:r w:rsidR="002431D8" w:rsidRPr="002431D8">
        <w:rPr>
          <w:rFonts w:ascii="Times New Roman" w:eastAsia="Times New Roman" w:hAnsi="Times New Roman" w:cs="Times New Roman"/>
          <w:sz w:val="28"/>
          <w:szCs w:val="28"/>
        </w:rPr>
        <w:t xml:space="preserve">(дата звернення: </w:t>
      </w:r>
      <w:r w:rsidR="00B82CE4">
        <w:rPr>
          <w:rFonts w:ascii="Times New Roman" w:eastAsia="Times New Roman" w:hAnsi="Times New Roman" w:cs="Times New Roman"/>
          <w:sz w:val="28"/>
          <w:szCs w:val="28"/>
          <w:lang w:val="uk-UA"/>
        </w:rPr>
        <w:t>19</w:t>
      </w:r>
      <w:r w:rsidR="002431D8" w:rsidRPr="002431D8">
        <w:rPr>
          <w:rFonts w:ascii="Times New Roman" w:eastAsia="Times New Roman" w:hAnsi="Times New Roman" w:cs="Times New Roman"/>
          <w:sz w:val="28"/>
          <w:szCs w:val="28"/>
        </w:rPr>
        <w:t>.11.2025).</w:t>
      </w:r>
    </w:p>
    <w:p w:rsidR="00623E00" w:rsidRPr="007C5908" w:rsidRDefault="00623E00">
      <w:pPr>
        <w:spacing w:after="0" w:line="360" w:lineRule="auto"/>
        <w:jc w:val="both"/>
        <w:rPr>
          <w:rFonts w:ascii="Times New Roman" w:eastAsia="Times New Roman" w:hAnsi="Times New Roman" w:cs="Times New Roman"/>
          <w:sz w:val="28"/>
          <w:szCs w:val="28"/>
        </w:rPr>
      </w:pPr>
    </w:p>
    <w:sectPr w:rsidR="00623E00" w:rsidRPr="007C5908">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embedRegular r:id="rId1" w:fontKey="{F2D87CFC-65B1-46F9-A475-08735F156ADB}"/>
    <w:embedBold r:id="rId2" w:fontKey="{709B4E32-5AB7-4996-A875-3A9B79CFF3E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embedItalic r:id="rId3" w:fontKey="{2F9764E3-33FB-486E-97C2-F94DA97BC480}"/>
  </w:font>
  <w:font w:name="Cambria">
    <w:panose1 w:val="02040503050406030204"/>
    <w:charset w:val="00"/>
    <w:family w:val="roman"/>
    <w:pitch w:val="variable"/>
    <w:sig w:usb0="A00002EF" w:usb1="4000004B" w:usb2="00000000" w:usb3="00000000" w:csb0="0000009F" w:csb1="00000000"/>
    <w:embedRegular r:id="rId4" w:fontKey="{2133101D-D411-4D6E-8092-6D4952EC0928}"/>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E0290"/>
    <w:multiLevelType w:val="hybridMultilevel"/>
    <w:tmpl w:val="09822EC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00"/>
    <w:rsid w:val="002431D8"/>
    <w:rsid w:val="00280803"/>
    <w:rsid w:val="00364512"/>
    <w:rsid w:val="00432AAE"/>
    <w:rsid w:val="004368CD"/>
    <w:rsid w:val="00470DA5"/>
    <w:rsid w:val="00492FC5"/>
    <w:rsid w:val="00554932"/>
    <w:rsid w:val="005F5923"/>
    <w:rsid w:val="00623E00"/>
    <w:rsid w:val="00631374"/>
    <w:rsid w:val="00663B1C"/>
    <w:rsid w:val="00680F2F"/>
    <w:rsid w:val="006C24A0"/>
    <w:rsid w:val="0074361C"/>
    <w:rsid w:val="007C5908"/>
    <w:rsid w:val="009C6D93"/>
    <w:rsid w:val="009E3C07"/>
    <w:rsid w:val="009E4904"/>
    <w:rsid w:val="00A73DC0"/>
    <w:rsid w:val="00B3397F"/>
    <w:rsid w:val="00B82CE4"/>
    <w:rsid w:val="00FB1803"/>
    <w:rsid w:val="00FB5655"/>
    <w:rsid w:val="00FB5F0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E71A"/>
  <w15:docId w15:val="{6A9E2E8A-704C-4A3E-B871-B7EFBB2B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1D8"/>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a8">
    <w:name w:val="Normal (Web)"/>
    <w:basedOn w:val="a"/>
    <w:uiPriority w:val="99"/>
    <w:semiHidden/>
    <w:unhideWhenUsed/>
    <w:rsid w:val="00FB5655"/>
    <w:rPr>
      <w:rFonts w:ascii="Times New Roman" w:hAnsi="Times New Roman" w:cs="Times New Roman"/>
      <w:sz w:val="24"/>
      <w:szCs w:val="24"/>
    </w:rPr>
  </w:style>
  <w:style w:type="character" w:styleId="a9">
    <w:name w:val="Hyperlink"/>
    <w:basedOn w:val="a0"/>
    <w:uiPriority w:val="99"/>
    <w:unhideWhenUsed/>
    <w:rsid w:val="002431D8"/>
    <w:rPr>
      <w:color w:val="0000FF" w:themeColor="hyperlink"/>
      <w:u w:val="single"/>
    </w:rPr>
  </w:style>
  <w:style w:type="character" w:styleId="aa">
    <w:name w:val="Unresolved Mention"/>
    <w:basedOn w:val="a0"/>
    <w:uiPriority w:val="99"/>
    <w:semiHidden/>
    <w:unhideWhenUsed/>
    <w:rsid w:val="002431D8"/>
    <w:rPr>
      <w:color w:val="605E5C"/>
      <w:shd w:val="clear" w:color="auto" w:fill="E1DFDD"/>
    </w:rPr>
  </w:style>
  <w:style w:type="paragraph" w:styleId="ab">
    <w:name w:val="List Paragraph"/>
    <w:basedOn w:val="a"/>
    <w:uiPriority w:val="34"/>
    <w:qFormat/>
    <w:rsid w:val="002431D8"/>
    <w:pPr>
      <w:ind w:left="720"/>
      <w:contextualSpacing/>
    </w:pPr>
    <w:rPr>
      <w:rFonts w:asciiTheme="minorHAnsi" w:eastAsiaTheme="minorHAnsi" w:hAnsiTheme="minorHAnsi" w:cstheme="minorBidi"/>
      <w:kern w:val="2"/>
      <w:lang w:val="uk-UA" w:eastAsia="en-US"/>
      <w14:ligatures w14:val="standardContextual"/>
    </w:rPr>
  </w:style>
  <w:style w:type="character" w:styleId="ac">
    <w:name w:val="FollowedHyperlink"/>
    <w:basedOn w:val="a0"/>
    <w:uiPriority w:val="99"/>
    <w:semiHidden/>
    <w:unhideWhenUsed/>
    <w:rsid w:val="002431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38241">
      <w:bodyDiv w:val="1"/>
      <w:marLeft w:val="0"/>
      <w:marRight w:val="0"/>
      <w:marTop w:val="0"/>
      <w:marBottom w:val="0"/>
      <w:divBdr>
        <w:top w:val="none" w:sz="0" w:space="0" w:color="auto"/>
        <w:left w:val="none" w:sz="0" w:space="0" w:color="auto"/>
        <w:bottom w:val="none" w:sz="0" w:space="0" w:color="auto"/>
        <w:right w:val="none" w:sz="0" w:space="0" w:color="auto"/>
      </w:divBdr>
    </w:div>
    <w:div w:id="89670599">
      <w:bodyDiv w:val="1"/>
      <w:marLeft w:val="0"/>
      <w:marRight w:val="0"/>
      <w:marTop w:val="0"/>
      <w:marBottom w:val="0"/>
      <w:divBdr>
        <w:top w:val="none" w:sz="0" w:space="0" w:color="auto"/>
        <w:left w:val="none" w:sz="0" w:space="0" w:color="auto"/>
        <w:bottom w:val="none" w:sz="0" w:space="0" w:color="auto"/>
        <w:right w:val="none" w:sz="0" w:space="0" w:color="auto"/>
      </w:divBdr>
    </w:div>
    <w:div w:id="176964567">
      <w:bodyDiv w:val="1"/>
      <w:marLeft w:val="0"/>
      <w:marRight w:val="0"/>
      <w:marTop w:val="0"/>
      <w:marBottom w:val="0"/>
      <w:divBdr>
        <w:top w:val="none" w:sz="0" w:space="0" w:color="auto"/>
        <w:left w:val="none" w:sz="0" w:space="0" w:color="auto"/>
        <w:bottom w:val="none" w:sz="0" w:space="0" w:color="auto"/>
        <w:right w:val="none" w:sz="0" w:space="0" w:color="auto"/>
      </w:divBdr>
    </w:div>
    <w:div w:id="208222338">
      <w:bodyDiv w:val="1"/>
      <w:marLeft w:val="0"/>
      <w:marRight w:val="0"/>
      <w:marTop w:val="0"/>
      <w:marBottom w:val="0"/>
      <w:divBdr>
        <w:top w:val="none" w:sz="0" w:space="0" w:color="auto"/>
        <w:left w:val="none" w:sz="0" w:space="0" w:color="auto"/>
        <w:bottom w:val="none" w:sz="0" w:space="0" w:color="auto"/>
        <w:right w:val="none" w:sz="0" w:space="0" w:color="auto"/>
      </w:divBdr>
    </w:div>
    <w:div w:id="700857231">
      <w:bodyDiv w:val="1"/>
      <w:marLeft w:val="0"/>
      <w:marRight w:val="0"/>
      <w:marTop w:val="0"/>
      <w:marBottom w:val="0"/>
      <w:divBdr>
        <w:top w:val="none" w:sz="0" w:space="0" w:color="auto"/>
        <w:left w:val="none" w:sz="0" w:space="0" w:color="auto"/>
        <w:bottom w:val="none" w:sz="0" w:space="0" w:color="auto"/>
        <w:right w:val="none" w:sz="0" w:space="0" w:color="auto"/>
      </w:divBdr>
    </w:div>
    <w:div w:id="755514337">
      <w:bodyDiv w:val="1"/>
      <w:marLeft w:val="0"/>
      <w:marRight w:val="0"/>
      <w:marTop w:val="0"/>
      <w:marBottom w:val="0"/>
      <w:divBdr>
        <w:top w:val="none" w:sz="0" w:space="0" w:color="auto"/>
        <w:left w:val="none" w:sz="0" w:space="0" w:color="auto"/>
        <w:bottom w:val="none" w:sz="0" w:space="0" w:color="auto"/>
        <w:right w:val="none" w:sz="0" w:space="0" w:color="auto"/>
      </w:divBdr>
    </w:div>
    <w:div w:id="770929508">
      <w:bodyDiv w:val="1"/>
      <w:marLeft w:val="0"/>
      <w:marRight w:val="0"/>
      <w:marTop w:val="0"/>
      <w:marBottom w:val="0"/>
      <w:divBdr>
        <w:top w:val="none" w:sz="0" w:space="0" w:color="auto"/>
        <w:left w:val="none" w:sz="0" w:space="0" w:color="auto"/>
        <w:bottom w:val="none" w:sz="0" w:space="0" w:color="auto"/>
        <w:right w:val="none" w:sz="0" w:space="0" w:color="auto"/>
      </w:divBdr>
    </w:div>
    <w:div w:id="1145662288">
      <w:bodyDiv w:val="1"/>
      <w:marLeft w:val="0"/>
      <w:marRight w:val="0"/>
      <w:marTop w:val="0"/>
      <w:marBottom w:val="0"/>
      <w:divBdr>
        <w:top w:val="none" w:sz="0" w:space="0" w:color="auto"/>
        <w:left w:val="none" w:sz="0" w:space="0" w:color="auto"/>
        <w:bottom w:val="none" w:sz="0" w:space="0" w:color="auto"/>
        <w:right w:val="none" w:sz="0" w:space="0" w:color="auto"/>
      </w:divBdr>
    </w:div>
    <w:div w:id="1254388695">
      <w:bodyDiv w:val="1"/>
      <w:marLeft w:val="0"/>
      <w:marRight w:val="0"/>
      <w:marTop w:val="0"/>
      <w:marBottom w:val="0"/>
      <w:divBdr>
        <w:top w:val="none" w:sz="0" w:space="0" w:color="auto"/>
        <w:left w:val="none" w:sz="0" w:space="0" w:color="auto"/>
        <w:bottom w:val="none" w:sz="0" w:space="0" w:color="auto"/>
        <w:right w:val="none" w:sz="0" w:space="0" w:color="auto"/>
      </w:divBdr>
    </w:div>
    <w:div w:id="1352873395">
      <w:bodyDiv w:val="1"/>
      <w:marLeft w:val="0"/>
      <w:marRight w:val="0"/>
      <w:marTop w:val="0"/>
      <w:marBottom w:val="0"/>
      <w:divBdr>
        <w:top w:val="none" w:sz="0" w:space="0" w:color="auto"/>
        <w:left w:val="none" w:sz="0" w:space="0" w:color="auto"/>
        <w:bottom w:val="none" w:sz="0" w:space="0" w:color="auto"/>
        <w:right w:val="none" w:sz="0" w:space="0" w:color="auto"/>
      </w:divBdr>
    </w:div>
    <w:div w:id="1622108186">
      <w:bodyDiv w:val="1"/>
      <w:marLeft w:val="0"/>
      <w:marRight w:val="0"/>
      <w:marTop w:val="0"/>
      <w:marBottom w:val="0"/>
      <w:divBdr>
        <w:top w:val="none" w:sz="0" w:space="0" w:color="auto"/>
        <w:left w:val="none" w:sz="0" w:space="0" w:color="auto"/>
        <w:bottom w:val="none" w:sz="0" w:space="0" w:color="auto"/>
        <w:right w:val="none" w:sz="0" w:space="0" w:color="auto"/>
      </w:divBdr>
    </w:div>
    <w:div w:id="185106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url.li/ctbeik"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elana.in.ua/ua/about_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url.li/jhnvey" TargetMode="External"/><Relationship Id="rId5" Type="http://schemas.openxmlformats.org/officeDocument/2006/relationships/webSettings" Target="webSettings.xml"/><Relationship Id="rId15" Type="http://schemas.openxmlformats.org/officeDocument/2006/relationships/hyperlink" Target="https://surl.li/odnjtb" TargetMode="External"/><Relationship Id="rId10" Type="http://schemas.openxmlformats.org/officeDocument/2006/relationships/hyperlink" Target="https://surl.li/" TargetMode="External"/><Relationship Id="rId4" Type="http://schemas.openxmlformats.org/officeDocument/2006/relationships/settings" Target="settings.xml"/><Relationship Id="rId9" Type="http://schemas.openxmlformats.org/officeDocument/2006/relationships/hyperlink" Target="https://surl.lu/nvrsvq" TargetMode="External"/><Relationship Id="rId14" Type="http://schemas.openxmlformats.org/officeDocument/2006/relationships/hyperlink" Target="https://surl.li/mznka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48E9-FCD8-4633-81B2-7317AC62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12</Pages>
  <Words>3018</Words>
  <Characters>17207</Characters>
  <Application>Microsoft Office Word</Application>
  <DocSecurity>0</DocSecurity>
  <Lines>143</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Ганна Дручук</cp:lastModifiedBy>
  <cp:revision>18</cp:revision>
  <dcterms:created xsi:type="dcterms:W3CDTF">2025-11-22T10:46:00Z</dcterms:created>
  <dcterms:modified xsi:type="dcterms:W3CDTF">2025-11-22T17:34:00Z</dcterms:modified>
</cp:coreProperties>
</file>