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86A" w:rsidRPr="0019086A" w:rsidRDefault="0019086A" w:rsidP="0001713C">
      <w:pPr>
        <w:spacing w:after="0" w:line="240" w:lineRule="auto"/>
        <w:ind w:firstLine="425"/>
        <w:rPr>
          <w:rFonts w:ascii="Times New Roman" w:eastAsia="Times New Roman" w:hAnsi="Times New Roman" w:cs="Times New Roman"/>
          <w:sz w:val="28"/>
          <w:szCs w:val="28"/>
          <w:lang w:eastAsia="ru-RU"/>
        </w:rPr>
      </w:pPr>
      <w:bookmarkStart w:id="0" w:name="_GoBack"/>
      <w:bookmarkEnd w:id="0"/>
      <w:r w:rsidRPr="00B44FAD">
        <w:rPr>
          <w:rFonts w:ascii="Times New Roman" w:eastAsia="Times New Roman" w:hAnsi="Times New Roman" w:cs="Times New Roman"/>
          <w:sz w:val="28"/>
          <w:szCs w:val="28"/>
          <w:lang w:eastAsia="ru-RU"/>
        </w:rPr>
        <w:t>«Trends in science and practice of today</w:t>
      </w:r>
      <w:r w:rsidRPr="0019086A">
        <w:rPr>
          <w:rFonts w:ascii="Times New Roman" w:eastAsia="Times New Roman" w:hAnsi="Times New Roman" w:cs="Times New Roman"/>
          <w:sz w:val="28"/>
          <w:szCs w:val="28"/>
          <w:lang w:eastAsia="ru-RU"/>
        </w:rPr>
        <w:t>»</w:t>
      </w:r>
    </w:p>
    <w:p w:rsidR="0019086A" w:rsidRPr="0019086A" w:rsidRDefault="0019086A" w:rsidP="0001713C">
      <w:pPr>
        <w:spacing w:after="0" w:line="240" w:lineRule="auto"/>
        <w:ind w:firstLine="425"/>
        <w:jc w:val="center"/>
        <w:rPr>
          <w:rFonts w:ascii="Times New Roman" w:eastAsia="Times New Roman" w:hAnsi="Times New Roman" w:cs="Times New Roman"/>
          <w:sz w:val="28"/>
          <w:szCs w:val="28"/>
          <w:lang w:val="uk-UA" w:eastAsia="ru-RU"/>
        </w:rPr>
      </w:pPr>
    </w:p>
    <w:p w:rsidR="0019086A" w:rsidRPr="00C73133" w:rsidRDefault="0019086A" w:rsidP="0001713C">
      <w:pPr>
        <w:spacing w:after="0" w:line="240" w:lineRule="auto"/>
        <w:ind w:firstLine="425"/>
        <w:rPr>
          <w:rFonts w:ascii="Times New Roman" w:eastAsia="Times New Roman" w:hAnsi="Times New Roman" w:cs="Times New Roman"/>
          <w:b/>
          <w:sz w:val="28"/>
          <w:szCs w:val="28"/>
          <w:lang w:val="uk-UA" w:eastAsia="ru-RU"/>
        </w:rPr>
      </w:pPr>
      <w:r w:rsidRPr="00C73133">
        <w:rPr>
          <w:rFonts w:ascii="Times New Roman" w:eastAsia="Times New Roman" w:hAnsi="Times New Roman" w:cs="Times New Roman"/>
          <w:b/>
          <w:sz w:val="28"/>
          <w:szCs w:val="28"/>
          <w:lang w:val="uk-UA" w:eastAsia="ru-RU"/>
        </w:rPr>
        <w:t xml:space="preserve">юриспруденція </w:t>
      </w:r>
    </w:p>
    <w:p w:rsidR="0019086A" w:rsidRPr="0019086A" w:rsidRDefault="0019086A" w:rsidP="0001713C">
      <w:pPr>
        <w:spacing w:after="0" w:line="240" w:lineRule="auto"/>
        <w:ind w:firstLine="425"/>
        <w:jc w:val="center"/>
        <w:rPr>
          <w:rFonts w:ascii="Times New Roman" w:eastAsia="Times New Roman" w:hAnsi="Times New Roman" w:cs="Times New Roman"/>
          <w:sz w:val="28"/>
          <w:szCs w:val="28"/>
          <w:lang w:val="uk-UA" w:eastAsia="ru-RU"/>
        </w:rPr>
      </w:pPr>
    </w:p>
    <w:p w:rsidR="0019086A" w:rsidRPr="00C73133" w:rsidRDefault="0019086A" w:rsidP="0001713C">
      <w:pPr>
        <w:spacing w:after="0" w:line="240" w:lineRule="auto"/>
        <w:jc w:val="center"/>
        <w:rPr>
          <w:rFonts w:ascii="Times New Roman" w:hAnsi="Times New Roman" w:cs="Times New Roman"/>
          <w:b/>
          <w:sz w:val="36"/>
          <w:szCs w:val="36"/>
          <w:lang w:val="uk-UA"/>
        </w:rPr>
      </w:pPr>
      <w:bookmarkStart w:id="1" w:name="_Hlk36454310"/>
      <w:r w:rsidRPr="00C73133">
        <w:rPr>
          <w:rFonts w:ascii="Times New Roman" w:hAnsi="Times New Roman" w:cs="Times New Roman"/>
          <w:b/>
          <w:sz w:val="36"/>
          <w:szCs w:val="36"/>
          <w:lang w:val="uk-UA"/>
        </w:rPr>
        <w:t>Учасники справи в адміністративному судочинстві України</w:t>
      </w:r>
    </w:p>
    <w:p w:rsidR="0019086A" w:rsidRPr="0019086A" w:rsidRDefault="0019086A" w:rsidP="0001713C">
      <w:pPr>
        <w:spacing w:after="0" w:line="240" w:lineRule="auto"/>
        <w:jc w:val="center"/>
        <w:outlineLvl w:val="0"/>
        <w:rPr>
          <w:rFonts w:ascii="Times New Roman" w:eastAsia="Times New Roman" w:hAnsi="Times New Roman" w:cs="Times New Roman"/>
          <w:b/>
          <w:bCs/>
          <w:caps/>
          <w:kern w:val="28"/>
          <w:sz w:val="28"/>
          <w:szCs w:val="28"/>
          <w:lang w:val="uk-UA"/>
        </w:rPr>
      </w:pPr>
    </w:p>
    <w:bookmarkEnd w:id="1"/>
    <w:p w:rsidR="0019086A" w:rsidRPr="0001713C" w:rsidRDefault="0019086A" w:rsidP="0001713C">
      <w:pPr>
        <w:spacing w:after="0" w:line="240" w:lineRule="auto"/>
        <w:ind w:firstLine="425"/>
        <w:jc w:val="right"/>
        <w:rPr>
          <w:rFonts w:ascii="Times New Roman" w:eastAsia="Calibri" w:hAnsi="Times New Roman" w:cs="Times New Roman"/>
          <w:b/>
          <w:color w:val="000000"/>
          <w:sz w:val="32"/>
          <w:szCs w:val="32"/>
          <w:shd w:val="clear" w:color="auto" w:fill="FFFFFF"/>
          <w:lang w:val="uk-UA"/>
        </w:rPr>
      </w:pPr>
      <w:proofErr w:type="spellStart"/>
      <w:r w:rsidRPr="0001713C">
        <w:rPr>
          <w:rFonts w:ascii="Times New Roman" w:eastAsia="Calibri" w:hAnsi="Times New Roman" w:cs="Times New Roman"/>
          <w:b/>
          <w:color w:val="000000"/>
          <w:sz w:val="32"/>
          <w:szCs w:val="32"/>
          <w:shd w:val="clear" w:color="auto" w:fill="FFFFFF"/>
          <w:lang w:val="uk-UA"/>
        </w:rPr>
        <w:t>Vitalii</w:t>
      </w:r>
      <w:proofErr w:type="spellEnd"/>
      <w:r w:rsidRPr="0001713C">
        <w:rPr>
          <w:rFonts w:ascii="Times New Roman" w:eastAsia="Calibri" w:hAnsi="Times New Roman" w:cs="Times New Roman"/>
          <w:b/>
          <w:color w:val="000000"/>
          <w:sz w:val="32"/>
          <w:szCs w:val="32"/>
          <w:shd w:val="clear" w:color="auto" w:fill="FFFFFF"/>
          <w:lang w:val="uk-UA"/>
        </w:rPr>
        <w:t xml:space="preserve"> </w:t>
      </w:r>
      <w:proofErr w:type="spellStart"/>
      <w:r w:rsidRPr="0001713C">
        <w:rPr>
          <w:rFonts w:ascii="Times New Roman" w:eastAsia="Calibri" w:hAnsi="Times New Roman" w:cs="Times New Roman"/>
          <w:b/>
          <w:color w:val="000000"/>
          <w:sz w:val="32"/>
          <w:szCs w:val="32"/>
          <w:shd w:val="clear" w:color="auto" w:fill="FFFFFF"/>
          <w:lang w:val="uk-UA"/>
        </w:rPr>
        <w:t>Gordieiev</w:t>
      </w:r>
      <w:proofErr w:type="spellEnd"/>
    </w:p>
    <w:p w:rsidR="0019086A" w:rsidRPr="0001713C" w:rsidRDefault="0019086A" w:rsidP="0001713C">
      <w:pPr>
        <w:spacing w:after="0" w:line="240" w:lineRule="auto"/>
        <w:ind w:firstLine="425"/>
        <w:jc w:val="right"/>
        <w:rPr>
          <w:rFonts w:ascii="Times New Roman" w:eastAsia="Calibri" w:hAnsi="Times New Roman" w:cs="Times New Roman"/>
          <w:b/>
          <w:color w:val="000000"/>
          <w:sz w:val="32"/>
          <w:szCs w:val="32"/>
          <w:shd w:val="clear" w:color="auto" w:fill="FFFFFF"/>
          <w:lang w:val="uk-UA"/>
        </w:rPr>
      </w:pPr>
      <w:proofErr w:type="spellStart"/>
      <w:r w:rsidRPr="0001713C">
        <w:rPr>
          <w:rFonts w:ascii="Times New Roman" w:eastAsia="Calibri" w:hAnsi="Times New Roman" w:cs="Times New Roman"/>
          <w:b/>
          <w:color w:val="000000"/>
          <w:sz w:val="32"/>
          <w:szCs w:val="32"/>
          <w:shd w:val="clear" w:color="auto" w:fill="FFFFFF"/>
          <w:lang w:val="uk-UA"/>
        </w:rPr>
        <w:t>Associate</w:t>
      </w:r>
      <w:proofErr w:type="spellEnd"/>
      <w:r w:rsidRPr="0001713C">
        <w:rPr>
          <w:rFonts w:ascii="Times New Roman" w:eastAsia="Calibri" w:hAnsi="Times New Roman" w:cs="Times New Roman"/>
          <w:b/>
          <w:color w:val="000000"/>
          <w:sz w:val="32"/>
          <w:szCs w:val="32"/>
          <w:shd w:val="clear" w:color="auto" w:fill="FFFFFF"/>
          <w:lang w:val="uk-UA"/>
        </w:rPr>
        <w:t xml:space="preserve"> </w:t>
      </w:r>
      <w:proofErr w:type="spellStart"/>
      <w:r w:rsidRPr="0001713C">
        <w:rPr>
          <w:rFonts w:ascii="Times New Roman" w:eastAsia="Calibri" w:hAnsi="Times New Roman" w:cs="Times New Roman"/>
          <w:b/>
          <w:color w:val="000000"/>
          <w:sz w:val="32"/>
          <w:szCs w:val="32"/>
          <w:shd w:val="clear" w:color="auto" w:fill="FFFFFF"/>
          <w:lang w:val="uk-UA"/>
        </w:rPr>
        <w:t>Professor</w:t>
      </w:r>
      <w:proofErr w:type="spellEnd"/>
      <w:r w:rsidRPr="0001713C">
        <w:rPr>
          <w:rFonts w:ascii="Times New Roman" w:eastAsia="Calibri" w:hAnsi="Times New Roman" w:cs="Times New Roman"/>
          <w:b/>
          <w:color w:val="000000"/>
          <w:sz w:val="32"/>
          <w:szCs w:val="32"/>
          <w:shd w:val="clear" w:color="auto" w:fill="FFFFFF"/>
          <w:lang w:val="uk-UA"/>
        </w:rPr>
        <w:t>,</w:t>
      </w:r>
      <w:r w:rsidRPr="0001713C">
        <w:rPr>
          <w:rFonts w:ascii="Times New Roman" w:eastAsia="Calibri" w:hAnsi="Times New Roman" w:cs="Times New Roman"/>
          <w:b/>
          <w:color w:val="000000"/>
          <w:sz w:val="32"/>
          <w:szCs w:val="32"/>
          <w:shd w:val="clear" w:color="auto" w:fill="FFFFFF"/>
        </w:rPr>
        <w:t xml:space="preserve"> </w:t>
      </w:r>
      <w:proofErr w:type="spellStart"/>
      <w:r w:rsidRPr="0001713C">
        <w:rPr>
          <w:rFonts w:ascii="Times New Roman" w:eastAsia="Calibri" w:hAnsi="Times New Roman" w:cs="Times New Roman"/>
          <w:b/>
          <w:color w:val="000000"/>
          <w:sz w:val="32"/>
          <w:szCs w:val="32"/>
          <w:shd w:val="clear" w:color="auto" w:fill="FFFFFF"/>
          <w:lang w:val="uk-UA"/>
        </w:rPr>
        <w:t>Doctor</w:t>
      </w:r>
      <w:proofErr w:type="spellEnd"/>
      <w:r w:rsidRPr="0001713C">
        <w:rPr>
          <w:rFonts w:ascii="Times New Roman" w:eastAsia="Calibri" w:hAnsi="Times New Roman" w:cs="Times New Roman"/>
          <w:b/>
          <w:color w:val="000000"/>
          <w:sz w:val="32"/>
          <w:szCs w:val="32"/>
          <w:shd w:val="clear" w:color="auto" w:fill="FFFFFF"/>
          <w:lang w:val="uk-UA"/>
        </w:rPr>
        <w:t xml:space="preserve"> </w:t>
      </w:r>
      <w:proofErr w:type="spellStart"/>
      <w:r w:rsidRPr="0001713C">
        <w:rPr>
          <w:rFonts w:ascii="Times New Roman" w:eastAsia="Calibri" w:hAnsi="Times New Roman" w:cs="Times New Roman"/>
          <w:b/>
          <w:color w:val="000000"/>
          <w:sz w:val="32"/>
          <w:szCs w:val="32"/>
          <w:shd w:val="clear" w:color="auto" w:fill="FFFFFF"/>
          <w:lang w:val="uk-UA"/>
        </w:rPr>
        <w:t>of</w:t>
      </w:r>
      <w:proofErr w:type="spellEnd"/>
      <w:r w:rsidRPr="0001713C">
        <w:rPr>
          <w:rFonts w:ascii="Times New Roman" w:eastAsia="Calibri" w:hAnsi="Times New Roman" w:cs="Times New Roman"/>
          <w:b/>
          <w:color w:val="000000"/>
          <w:sz w:val="32"/>
          <w:szCs w:val="32"/>
          <w:shd w:val="clear" w:color="auto" w:fill="FFFFFF"/>
          <w:lang w:val="uk-UA"/>
        </w:rPr>
        <w:t xml:space="preserve"> </w:t>
      </w:r>
      <w:proofErr w:type="spellStart"/>
      <w:r w:rsidRPr="0001713C">
        <w:rPr>
          <w:rFonts w:ascii="Times New Roman" w:eastAsia="Calibri" w:hAnsi="Times New Roman" w:cs="Times New Roman"/>
          <w:b/>
          <w:color w:val="000000"/>
          <w:sz w:val="32"/>
          <w:szCs w:val="32"/>
          <w:shd w:val="clear" w:color="auto" w:fill="FFFFFF"/>
          <w:lang w:val="uk-UA"/>
        </w:rPr>
        <w:t>Philosophy</w:t>
      </w:r>
      <w:proofErr w:type="spellEnd"/>
      <w:r w:rsidRPr="0001713C">
        <w:rPr>
          <w:rFonts w:ascii="Times New Roman" w:eastAsia="Calibri" w:hAnsi="Times New Roman" w:cs="Times New Roman"/>
          <w:b/>
          <w:color w:val="000000"/>
          <w:sz w:val="32"/>
          <w:szCs w:val="32"/>
          <w:shd w:val="clear" w:color="auto" w:fill="FFFFFF"/>
          <w:lang w:val="uk-UA"/>
        </w:rPr>
        <w:t xml:space="preserve">, </w:t>
      </w:r>
    </w:p>
    <w:p w:rsidR="0019086A" w:rsidRPr="0001713C" w:rsidRDefault="0019086A" w:rsidP="0001713C">
      <w:pPr>
        <w:spacing w:after="0" w:line="240" w:lineRule="auto"/>
        <w:ind w:firstLine="425"/>
        <w:jc w:val="right"/>
        <w:rPr>
          <w:rFonts w:ascii="Times New Roman" w:eastAsia="Calibri" w:hAnsi="Times New Roman" w:cs="Times New Roman"/>
          <w:b/>
          <w:color w:val="000000"/>
          <w:sz w:val="32"/>
          <w:szCs w:val="32"/>
          <w:shd w:val="clear" w:color="auto" w:fill="FFFFFF"/>
          <w:lang w:val="uk-UA"/>
        </w:rPr>
      </w:pPr>
      <w:proofErr w:type="spellStart"/>
      <w:r w:rsidRPr="0001713C">
        <w:rPr>
          <w:rFonts w:ascii="Times New Roman" w:eastAsia="Calibri" w:hAnsi="Times New Roman" w:cs="Times New Roman"/>
          <w:b/>
          <w:color w:val="000000"/>
          <w:sz w:val="32"/>
          <w:szCs w:val="32"/>
          <w:shd w:val="clear" w:color="auto" w:fill="FFFFFF"/>
          <w:lang w:val="uk-UA"/>
        </w:rPr>
        <w:t>Sub-Department</w:t>
      </w:r>
      <w:proofErr w:type="spellEnd"/>
      <w:r w:rsidRPr="0001713C">
        <w:rPr>
          <w:rFonts w:ascii="Times New Roman" w:eastAsia="Calibri" w:hAnsi="Times New Roman" w:cs="Times New Roman"/>
          <w:b/>
          <w:color w:val="000000"/>
          <w:sz w:val="32"/>
          <w:szCs w:val="32"/>
          <w:shd w:val="clear" w:color="auto" w:fill="FFFFFF"/>
          <w:lang w:val="uk-UA"/>
        </w:rPr>
        <w:t xml:space="preserve"> </w:t>
      </w:r>
      <w:proofErr w:type="spellStart"/>
      <w:r w:rsidRPr="0001713C">
        <w:rPr>
          <w:rFonts w:ascii="Times New Roman" w:eastAsia="Calibri" w:hAnsi="Times New Roman" w:cs="Times New Roman"/>
          <w:b/>
          <w:color w:val="000000"/>
          <w:sz w:val="32"/>
          <w:szCs w:val="32"/>
          <w:shd w:val="clear" w:color="auto" w:fill="FFFFFF"/>
          <w:lang w:val="uk-UA"/>
        </w:rPr>
        <w:t>of</w:t>
      </w:r>
      <w:proofErr w:type="spellEnd"/>
      <w:r w:rsidRPr="0001713C">
        <w:rPr>
          <w:rFonts w:ascii="Times New Roman" w:eastAsia="Calibri" w:hAnsi="Times New Roman" w:cs="Times New Roman"/>
          <w:b/>
          <w:color w:val="000000"/>
          <w:sz w:val="32"/>
          <w:szCs w:val="32"/>
          <w:shd w:val="clear" w:color="auto" w:fill="FFFFFF"/>
          <w:lang w:val="uk-UA"/>
        </w:rPr>
        <w:t xml:space="preserve"> </w:t>
      </w:r>
      <w:r w:rsidRPr="0001713C">
        <w:rPr>
          <w:rFonts w:ascii="Times New Roman" w:eastAsia="Calibri" w:hAnsi="Times New Roman" w:cs="Times New Roman"/>
          <w:b/>
          <w:color w:val="000000"/>
          <w:sz w:val="32"/>
          <w:szCs w:val="32"/>
          <w:shd w:val="clear" w:color="auto" w:fill="FFFFFF"/>
        </w:rPr>
        <w:t>P</w:t>
      </w:r>
      <w:proofErr w:type="spellStart"/>
      <w:r w:rsidRPr="0001713C">
        <w:rPr>
          <w:rFonts w:ascii="Times New Roman" w:eastAsia="Calibri" w:hAnsi="Times New Roman" w:cs="Times New Roman"/>
          <w:b/>
          <w:color w:val="000000"/>
          <w:sz w:val="32"/>
          <w:szCs w:val="32"/>
          <w:shd w:val="clear" w:color="auto" w:fill="FFFFFF"/>
          <w:lang w:val="uk-UA"/>
        </w:rPr>
        <w:t>rocedural</w:t>
      </w:r>
      <w:proofErr w:type="spellEnd"/>
      <w:r w:rsidRPr="0001713C">
        <w:rPr>
          <w:rFonts w:ascii="Times New Roman" w:eastAsia="Calibri" w:hAnsi="Times New Roman" w:cs="Times New Roman"/>
          <w:b/>
          <w:color w:val="000000"/>
          <w:sz w:val="32"/>
          <w:szCs w:val="32"/>
          <w:shd w:val="clear" w:color="auto" w:fill="FFFFFF"/>
          <w:lang w:val="uk-UA"/>
        </w:rPr>
        <w:t xml:space="preserve"> </w:t>
      </w:r>
      <w:r w:rsidRPr="0001713C">
        <w:rPr>
          <w:rFonts w:ascii="Times New Roman" w:eastAsia="Calibri" w:hAnsi="Times New Roman" w:cs="Times New Roman"/>
          <w:b/>
          <w:color w:val="000000"/>
          <w:sz w:val="32"/>
          <w:szCs w:val="32"/>
          <w:shd w:val="clear" w:color="auto" w:fill="FFFFFF"/>
        </w:rPr>
        <w:t>L</w:t>
      </w:r>
      <w:proofErr w:type="spellStart"/>
      <w:r w:rsidRPr="0001713C">
        <w:rPr>
          <w:rFonts w:ascii="Times New Roman" w:eastAsia="Calibri" w:hAnsi="Times New Roman" w:cs="Times New Roman"/>
          <w:b/>
          <w:color w:val="000000"/>
          <w:sz w:val="32"/>
          <w:szCs w:val="32"/>
          <w:shd w:val="clear" w:color="auto" w:fill="FFFFFF"/>
          <w:lang w:val="uk-UA"/>
        </w:rPr>
        <w:t>aw</w:t>
      </w:r>
      <w:proofErr w:type="spellEnd"/>
      <w:r w:rsidRPr="0001713C">
        <w:rPr>
          <w:rFonts w:ascii="Times New Roman" w:eastAsia="Calibri" w:hAnsi="Times New Roman" w:cs="Times New Roman"/>
          <w:b/>
          <w:color w:val="000000"/>
          <w:sz w:val="32"/>
          <w:szCs w:val="32"/>
          <w:shd w:val="clear" w:color="auto" w:fill="FFFFFF"/>
          <w:lang w:val="uk-UA"/>
        </w:rPr>
        <w:t xml:space="preserve">, </w:t>
      </w:r>
      <w:proofErr w:type="spellStart"/>
      <w:r w:rsidRPr="0001713C">
        <w:rPr>
          <w:rFonts w:ascii="Times New Roman" w:eastAsia="Calibri" w:hAnsi="Times New Roman" w:cs="Times New Roman"/>
          <w:b/>
          <w:color w:val="000000"/>
          <w:sz w:val="32"/>
          <w:szCs w:val="32"/>
          <w:shd w:val="clear" w:color="auto" w:fill="FFFFFF"/>
          <w:lang w:val="uk-UA"/>
        </w:rPr>
        <w:t>Department</w:t>
      </w:r>
      <w:proofErr w:type="spellEnd"/>
      <w:r w:rsidRPr="0001713C">
        <w:rPr>
          <w:rFonts w:ascii="Times New Roman" w:eastAsia="Calibri" w:hAnsi="Times New Roman" w:cs="Times New Roman"/>
          <w:b/>
          <w:color w:val="000000"/>
          <w:sz w:val="32"/>
          <w:szCs w:val="32"/>
          <w:shd w:val="clear" w:color="auto" w:fill="FFFFFF"/>
          <w:lang w:val="uk-UA"/>
        </w:rPr>
        <w:t xml:space="preserve"> </w:t>
      </w:r>
      <w:proofErr w:type="spellStart"/>
      <w:r w:rsidRPr="0001713C">
        <w:rPr>
          <w:rFonts w:ascii="Times New Roman" w:eastAsia="Calibri" w:hAnsi="Times New Roman" w:cs="Times New Roman"/>
          <w:b/>
          <w:color w:val="000000"/>
          <w:sz w:val="32"/>
          <w:szCs w:val="32"/>
          <w:shd w:val="clear" w:color="auto" w:fill="FFFFFF"/>
          <w:lang w:val="uk-UA"/>
        </w:rPr>
        <w:t>of</w:t>
      </w:r>
      <w:proofErr w:type="spellEnd"/>
      <w:r w:rsidRPr="0001713C">
        <w:rPr>
          <w:rFonts w:ascii="Times New Roman" w:eastAsia="Calibri" w:hAnsi="Times New Roman" w:cs="Times New Roman"/>
          <w:b/>
          <w:color w:val="000000"/>
          <w:sz w:val="32"/>
          <w:szCs w:val="32"/>
          <w:shd w:val="clear" w:color="auto" w:fill="FFFFFF"/>
          <w:lang w:val="uk-UA"/>
        </w:rPr>
        <w:t xml:space="preserve"> </w:t>
      </w:r>
      <w:proofErr w:type="spellStart"/>
      <w:r w:rsidRPr="0001713C">
        <w:rPr>
          <w:rFonts w:ascii="Times New Roman" w:eastAsia="Calibri" w:hAnsi="Times New Roman" w:cs="Times New Roman"/>
          <w:b/>
          <w:color w:val="000000"/>
          <w:sz w:val="32"/>
          <w:szCs w:val="32"/>
          <w:shd w:val="clear" w:color="auto" w:fill="FFFFFF"/>
          <w:lang w:val="uk-UA"/>
        </w:rPr>
        <w:t>Law</w:t>
      </w:r>
      <w:proofErr w:type="spellEnd"/>
      <w:r w:rsidRPr="0001713C">
        <w:rPr>
          <w:rFonts w:ascii="Times New Roman" w:eastAsia="Calibri" w:hAnsi="Times New Roman" w:cs="Times New Roman"/>
          <w:b/>
          <w:color w:val="000000"/>
          <w:sz w:val="32"/>
          <w:szCs w:val="32"/>
          <w:shd w:val="clear" w:color="auto" w:fill="FFFFFF"/>
          <w:lang w:val="uk-UA"/>
        </w:rPr>
        <w:t>,</w:t>
      </w:r>
    </w:p>
    <w:p w:rsidR="0019086A" w:rsidRPr="0001713C" w:rsidRDefault="0019086A" w:rsidP="0001713C">
      <w:pPr>
        <w:spacing w:after="0" w:line="240" w:lineRule="auto"/>
        <w:ind w:firstLine="425"/>
        <w:jc w:val="right"/>
        <w:rPr>
          <w:rFonts w:ascii="Times New Roman" w:eastAsia="Calibri" w:hAnsi="Times New Roman" w:cs="Times New Roman"/>
          <w:b/>
          <w:color w:val="000000"/>
          <w:sz w:val="32"/>
          <w:szCs w:val="32"/>
          <w:shd w:val="clear" w:color="auto" w:fill="FFFFFF"/>
          <w:lang w:val="uk-UA"/>
        </w:rPr>
      </w:pPr>
      <w:proofErr w:type="spellStart"/>
      <w:r w:rsidRPr="0001713C">
        <w:rPr>
          <w:rFonts w:ascii="Times New Roman" w:eastAsia="Calibri" w:hAnsi="Times New Roman" w:cs="Times New Roman"/>
          <w:b/>
          <w:color w:val="000000"/>
          <w:sz w:val="32"/>
          <w:szCs w:val="32"/>
          <w:shd w:val="clear" w:color="auto" w:fill="FFFFFF"/>
          <w:lang w:val="uk-UA"/>
        </w:rPr>
        <w:t>Chernivtsi</w:t>
      </w:r>
      <w:proofErr w:type="spellEnd"/>
      <w:r w:rsidRPr="0001713C">
        <w:rPr>
          <w:rFonts w:ascii="Times New Roman" w:eastAsia="Calibri" w:hAnsi="Times New Roman" w:cs="Times New Roman"/>
          <w:b/>
          <w:color w:val="000000"/>
          <w:sz w:val="32"/>
          <w:szCs w:val="32"/>
          <w:shd w:val="clear" w:color="auto" w:fill="FFFFFF"/>
          <w:lang w:val="uk-UA"/>
        </w:rPr>
        <w:t xml:space="preserve"> </w:t>
      </w:r>
      <w:proofErr w:type="spellStart"/>
      <w:r w:rsidRPr="0001713C">
        <w:rPr>
          <w:rFonts w:ascii="Times New Roman" w:eastAsia="Calibri" w:hAnsi="Times New Roman" w:cs="Times New Roman"/>
          <w:b/>
          <w:color w:val="000000"/>
          <w:sz w:val="32"/>
          <w:szCs w:val="32"/>
          <w:shd w:val="clear" w:color="auto" w:fill="FFFFFF"/>
          <w:lang w:val="uk-UA"/>
        </w:rPr>
        <w:t>Yuriy</w:t>
      </w:r>
      <w:proofErr w:type="spellEnd"/>
      <w:r w:rsidRPr="0001713C">
        <w:rPr>
          <w:rFonts w:ascii="Times New Roman" w:eastAsia="Calibri" w:hAnsi="Times New Roman" w:cs="Times New Roman"/>
          <w:b/>
          <w:color w:val="000000"/>
          <w:sz w:val="32"/>
          <w:szCs w:val="32"/>
          <w:shd w:val="clear" w:color="auto" w:fill="FFFFFF"/>
          <w:lang w:val="uk-UA"/>
        </w:rPr>
        <w:t xml:space="preserve"> </w:t>
      </w:r>
      <w:proofErr w:type="spellStart"/>
      <w:r w:rsidRPr="0001713C">
        <w:rPr>
          <w:rFonts w:ascii="Times New Roman" w:eastAsia="Calibri" w:hAnsi="Times New Roman" w:cs="Times New Roman"/>
          <w:b/>
          <w:color w:val="000000"/>
          <w:sz w:val="32"/>
          <w:szCs w:val="32"/>
          <w:shd w:val="clear" w:color="auto" w:fill="FFFFFF"/>
          <w:lang w:val="uk-UA"/>
        </w:rPr>
        <w:t>Fedkovych</w:t>
      </w:r>
      <w:proofErr w:type="spellEnd"/>
      <w:r w:rsidRPr="0001713C">
        <w:rPr>
          <w:rFonts w:ascii="Times New Roman" w:eastAsia="Calibri" w:hAnsi="Times New Roman" w:cs="Times New Roman"/>
          <w:b/>
          <w:color w:val="000000"/>
          <w:sz w:val="32"/>
          <w:szCs w:val="32"/>
          <w:shd w:val="clear" w:color="auto" w:fill="FFFFFF"/>
          <w:lang w:val="uk-UA"/>
        </w:rPr>
        <w:t xml:space="preserve"> </w:t>
      </w:r>
      <w:proofErr w:type="spellStart"/>
      <w:r w:rsidRPr="0001713C">
        <w:rPr>
          <w:rFonts w:ascii="Times New Roman" w:eastAsia="Calibri" w:hAnsi="Times New Roman" w:cs="Times New Roman"/>
          <w:b/>
          <w:color w:val="000000"/>
          <w:sz w:val="32"/>
          <w:szCs w:val="32"/>
          <w:shd w:val="clear" w:color="auto" w:fill="FFFFFF"/>
          <w:lang w:val="uk-UA"/>
        </w:rPr>
        <w:t>National</w:t>
      </w:r>
      <w:proofErr w:type="spellEnd"/>
      <w:r w:rsidRPr="0001713C">
        <w:rPr>
          <w:rFonts w:ascii="Times New Roman" w:eastAsia="Calibri" w:hAnsi="Times New Roman" w:cs="Times New Roman"/>
          <w:b/>
          <w:color w:val="000000"/>
          <w:sz w:val="32"/>
          <w:szCs w:val="32"/>
          <w:shd w:val="clear" w:color="auto" w:fill="FFFFFF"/>
          <w:lang w:val="uk-UA"/>
        </w:rPr>
        <w:t xml:space="preserve"> </w:t>
      </w:r>
      <w:proofErr w:type="spellStart"/>
      <w:r w:rsidRPr="0001713C">
        <w:rPr>
          <w:rFonts w:ascii="Times New Roman" w:eastAsia="Calibri" w:hAnsi="Times New Roman" w:cs="Times New Roman"/>
          <w:b/>
          <w:color w:val="000000"/>
          <w:sz w:val="32"/>
          <w:szCs w:val="32"/>
          <w:shd w:val="clear" w:color="auto" w:fill="FFFFFF"/>
          <w:lang w:val="uk-UA"/>
        </w:rPr>
        <w:t>University</w:t>
      </w:r>
      <w:proofErr w:type="spellEnd"/>
      <w:r w:rsidRPr="0001713C">
        <w:rPr>
          <w:rFonts w:ascii="Times New Roman" w:eastAsia="Calibri" w:hAnsi="Times New Roman" w:cs="Times New Roman"/>
          <w:b/>
          <w:color w:val="000000"/>
          <w:sz w:val="32"/>
          <w:szCs w:val="32"/>
          <w:shd w:val="clear" w:color="auto" w:fill="FFFFFF"/>
          <w:lang w:val="uk-UA"/>
        </w:rPr>
        <w:t xml:space="preserve">, </w:t>
      </w:r>
      <w:proofErr w:type="spellStart"/>
      <w:r w:rsidRPr="0001713C">
        <w:rPr>
          <w:rFonts w:ascii="Times New Roman" w:eastAsia="Calibri" w:hAnsi="Times New Roman" w:cs="Times New Roman"/>
          <w:b/>
          <w:color w:val="000000"/>
          <w:sz w:val="32"/>
          <w:szCs w:val="32"/>
          <w:shd w:val="clear" w:color="auto" w:fill="FFFFFF"/>
          <w:lang w:val="uk-UA"/>
        </w:rPr>
        <w:t>Ukraine</w:t>
      </w:r>
      <w:proofErr w:type="spellEnd"/>
    </w:p>
    <w:p w:rsidR="0019086A" w:rsidRPr="0001713C" w:rsidRDefault="0019086A" w:rsidP="0001713C">
      <w:pPr>
        <w:spacing w:after="0" w:line="240" w:lineRule="auto"/>
        <w:ind w:firstLine="425"/>
        <w:jc w:val="right"/>
        <w:rPr>
          <w:rFonts w:ascii="Times New Roman" w:eastAsia="Calibri" w:hAnsi="Times New Roman" w:cs="Times New Roman"/>
          <w:b/>
          <w:color w:val="000000"/>
          <w:sz w:val="32"/>
          <w:szCs w:val="32"/>
          <w:shd w:val="clear" w:color="auto" w:fill="FFFFFF"/>
          <w:lang w:val="uk-UA"/>
        </w:rPr>
      </w:pPr>
      <w:r w:rsidRPr="0001713C">
        <w:rPr>
          <w:rFonts w:ascii="Times New Roman" w:eastAsia="Calibri" w:hAnsi="Times New Roman" w:cs="Times New Roman"/>
          <w:b/>
          <w:color w:val="000000"/>
          <w:sz w:val="32"/>
          <w:szCs w:val="32"/>
          <w:shd w:val="clear" w:color="auto" w:fill="FFFFFF"/>
          <w:lang w:val="uk-UA"/>
        </w:rPr>
        <w:t>E-</w:t>
      </w:r>
      <w:proofErr w:type="spellStart"/>
      <w:r w:rsidRPr="0001713C">
        <w:rPr>
          <w:rFonts w:ascii="Times New Roman" w:eastAsia="Calibri" w:hAnsi="Times New Roman" w:cs="Times New Roman"/>
          <w:b/>
          <w:color w:val="000000"/>
          <w:sz w:val="32"/>
          <w:szCs w:val="32"/>
          <w:shd w:val="clear" w:color="auto" w:fill="FFFFFF"/>
          <w:lang w:val="uk-UA"/>
        </w:rPr>
        <w:t>mail</w:t>
      </w:r>
      <w:proofErr w:type="spellEnd"/>
      <w:r w:rsidRPr="0001713C">
        <w:rPr>
          <w:rFonts w:ascii="Times New Roman" w:eastAsia="Calibri" w:hAnsi="Times New Roman" w:cs="Times New Roman"/>
          <w:b/>
          <w:color w:val="000000"/>
          <w:sz w:val="32"/>
          <w:szCs w:val="32"/>
          <w:shd w:val="clear" w:color="auto" w:fill="FFFFFF"/>
          <w:lang w:val="uk-UA"/>
        </w:rPr>
        <w:t xml:space="preserve">: </w:t>
      </w:r>
      <w:hyperlink r:id="rId5" w:history="1">
        <w:r w:rsidRPr="0001713C">
          <w:rPr>
            <w:rStyle w:val="a3"/>
            <w:rFonts w:ascii="Times New Roman" w:eastAsia="Calibri" w:hAnsi="Times New Roman" w:cs="Times New Roman"/>
            <w:b/>
            <w:sz w:val="32"/>
            <w:szCs w:val="32"/>
            <w:shd w:val="clear" w:color="auto" w:fill="FFFFFF"/>
            <w:lang w:val="uk-UA"/>
          </w:rPr>
          <w:t>v.gordieiev@chnu.edu.ua</w:t>
        </w:r>
      </w:hyperlink>
      <w:r w:rsidRPr="0001713C">
        <w:rPr>
          <w:rFonts w:ascii="Times New Roman" w:eastAsia="Calibri" w:hAnsi="Times New Roman" w:cs="Times New Roman"/>
          <w:b/>
          <w:color w:val="000000"/>
          <w:sz w:val="32"/>
          <w:szCs w:val="32"/>
          <w:shd w:val="clear" w:color="auto" w:fill="FFFFFF"/>
          <w:lang w:val="uk-UA"/>
        </w:rPr>
        <w:t xml:space="preserve"> </w:t>
      </w:r>
    </w:p>
    <w:p w:rsidR="0019086A" w:rsidRPr="0001713C" w:rsidRDefault="00E159C7" w:rsidP="0001713C">
      <w:pPr>
        <w:spacing w:after="0" w:line="240" w:lineRule="auto"/>
        <w:ind w:firstLine="425"/>
        <w:jc w:val="right"/>
        <w:rPr>
          <w:rFonts w:ascii="Times New Roman" w:eastAsia="Calibri" w:hAnsi="Times New Roman" w:cs="Times New Roman"/>
          <w:b/>
          <w:color w:val="000000"/>
          <w:sz w:val="32"/>
          <w:szCs w:val="32"/>
          <w:shd w:val="clear" w:color="auto" w:fill="FFFFFF"/>
        </w:rPr>
      </w:pPr>
      <w:hyperlink r:id="rId6" w:history="1">
        <w:r w:rsidR="0019086A" w:rsidRPr="0001713C">
          <w:rPr>
            <w:rStyle w:val="a3"/>
            <w:rFonts w:ascii="Times New Roman" w:eastAsia="Calibri" w:hAnsi="Times New Roman" w:cs="Times New Roman"/>
            <w:b/>
            <w:sz w:val="32"/>
            <w:szCs w:val="32"/>
            <w:shd w:val="clear" w:color="auto" w:fill="FFFFFF"/>
            <w:lang w:val="uk-UA"/>
          </w:rPr>
          <w:t>https://orcid.org/0000-0002-1778-0432</w:t>
        </w:r>
      </w:hyperlink>
      <w:r w:rsidR="0019086A" w:rsidRPr="0001713C">
        <w:rPr>
          <w:rFonts w:ascii="Times New Roman" w:eastAsia="Calibri" w:hAnsi="Times New Roman" w:cs="Times New Roman"/>
          <w:b/>
          <w:color w:val="000000"/>
          <w:sz w:val="32"/>
          <w:szCs w:val="32"/>
          <w:shd w:val="clear" w:color="auto" w:fill="FFFFFF"/>
          <w:lang w:val="uk-UA"/>
        </w:rPr>
        <w:t xml:space="preserve"> </w:t>
      </w:r>
    </w:p>
    <w:p w:rsidR="0019086A" w:rsidRPr="0019086A" w:rsidRDefault="0019086A" w:rsidP="0001713C">
      <w:pPr>
        <w:spacing w:after="0" w:line="240" w:lineRule="auto"/>
        <w:ind w:firstLine="425"/>
        <w:jc w:val="right"/>
        <w:rPr>
          <w:rFonts w:ascii="Times New Roman" w:eastAsia="Calibri" w:hAnsi="Times New Roman" w:cs="Times New Roman"/>
          <w:color w:val="4472C4"/>
          <w:sz w:val="28"/>
          <w:szCs w:val="28"/>
          <w:u w:val="single"/>
          <w:lang w:val="uk-UA"/>
        </w:rPr>
      </w:pPr>
    </w:p>
    <w:p w:rsidR="0019086A" w:rsidRPr="0019086A" w:rsidRDefault="0019086A" w:rsidP="0001713C">
      <w:pPr>
        <w:autoSpaceDE w:val="0"/>
        <w:autoSpaceDN w:val="0"/>
        <w:spacing w:after="0" w:line="240" w:lineRule="auto"/>
        <w:ind w:firstLine="709"/>
        <w:contextualSpacing/>
        <w:jc w:val="both"/>
        <w:rPr>
          <w:rFonts w:ascii="Times New Roman" w:eastAsia="Times New Roman" w:hAnsi="Times New Roman" w:cs="Times New Roman"/>
          <w:sz w:val="28"/>
          <w:szCs w:val="28"/>
          <w:lang w:val="uk-UA" w:eastAsia="ru-RU"/>
        </w:rPr>
      </w:pPr>
      <w:r w:rsidRPr="0019086A">
        <w:rPr>
          <w:rFonts w:ascii="Times New Roman" w:eastAsia="Times New Roman" w:hAnsi="Times New Roman" w:cs="Times New Roman"/>
          <w:sz w:val="28"/>
          <w:szCs w:val="28"/>
          <w:lang w:val="uk-UA" w:eastAsia="ru-RU"/>
        </w:rPr>
        <w:t xml:space="preserve">Учасники судового процесу – </w:t>
      </w:r>
      <w:r w:rsidRPr="00B44FAD">
        <w:rPr>
          <w:rFonts w:ascii="Times New Roman" w:eastAsia="Times New Roman" w:hAnsi="Times New Roman" w:cs="Times New Roman"/>
          <w:sz w:val="28"/>
          <w:szCs w:val="28"/>
          <w:lang w:val="uk-UA" w:eastAsia="ru-RU"/>
        </w:rPr>
        <w:t xml:space="preserve">узагальнююча назва усіх осіб, що </w:t>
      </w:r>
      <w:r w:rsidR="00EA7997" w:rsidRPr="00B44FAD">
        <w:rPr>
          <w:rFonts w:ascii="Times New Roman" w:eastAsia="Times New Roman" w:hAnsi="Times New Roman" w:cs="Times New Roman"/>
          <w:sz w:val="28"/>
          <w:szCs w:val="28"/>
          <w:lang w:val="uk-UA" w:eastAsia="ru-RU"/>
        </w:rPr>
        <w:t>беруть участь в справі. Ц</w:t>
      </w:r>
      <w:r w:rsidRPr="0019086A">
        <w:rPr>
          <w:rFonts w:ascii="Times New Roman" w:eastAsia="Times New Roman" w:hAnsi="Times New Roman" w:cs="Times New Roman"/>
          <w:sz w:val="28"/>
          <w:szCs w:val="28"/>
          <w:lang w:val="uk-UA" w:eastAsia="ru-RU"/>
        </w:rPr>
        <w:t xml:space="preserve">е сторони, треті особи, їх представники, помічник судді, секретар судового засідання, судовий розпорядник, свідок, експерт, експерт з питань права, перекладач, спеціаліст, які здійснюють свої процесуальні права та виконують обов’язки в судовому адміністративному процесі. </w:t>
      </w:r>
    </w:p>
    <w:p w:rsidR="0019086A" w:rsidRPr="0019086A" w:rsidRDefault="00EA7997" w:rsidP="0001713C">
      <w:pPr>
        <w:autoSpaceDE w:val="0"/>
        <w:autoSpaceDN w:val="0"/>
        <w:spacing w:after="0" w:line="240" w:lineRule="auto"/>
        <w:ind w:firstLine="709"/>
        <w:contextualSpacing/>
        <w:jc w:val="both"/>
        <w:rPr>
          <w:rFonts w:ascii="Times New Roman" w:eastAsia="Times New Roman" w:hAnsi="Times New Roman" w:cs="Times New Roman"/>
          <w:sz w:val="28"/>
          <w:szCs w:val="28"/>
          <w:lang w:val="uk-UA" w:eastAsia="ru-RU"/>
        </w:rPr>
      </w:pPr>
      <w:r w:rsidRPr="00B44FAD">
        <w:rPr>
          <w:rFonts w:ascii="Times New Roman" w:eastAsia="Times New Roman" w:hAnsi="Times New Roman" w:cs="Times New Roman"/>
          <w:sz w:val="28"/>
          <w:szCs w:val="28"/>
          <w:lang w:val="uk-UA" w:eastAsia="ru-RU"/>
        </w:rPr>
        <w:t>Сторін</w:t>
      </w:r>
      <w:r w:rsidR="0019086A" w:rsidRPr="0019086A">
        <w:rPr>
          <w:rFonts w:ascii="Times New Roman" w:eastAsia="Times New Roman" w:hAnsi="Times New Roman" w:cs="Times New Roman"/>
          <w:sz w:val="28"/>
          <w:szCs w:val="28"/>
          <w:lang w:val="uk-UA" w:eastAsia="ru-RU"/>
        </w:rPr>
        <w:t xml:space="preserve"> та треті</w:t>
      </w:r>
      <w:r w:rsidRPr="00B44FAD">
        <w:rPr>
          <w:rFonts w:ascii="Times New Roman" w:eastAsia="Times New Roman" w:hAnsi="Times New Roman" w:cs="Times New Roman"/>
          <w:sz w:val="28"/>
          <w:szCs w:val="28"/>
          <w:lang w:val="uk-UA" w:eastAsia="ru-RU"/>
        </w:rPr>
        <w:t>х</w:t>
      </w:r>
      <w:r w:rsidR="0019086A" w:rsidRPr="0019086A">
        <w:rPr>
          <w:rFonts w:ascii="Times New Roman" w:eastAsia="Times New Roman" w:hAnsi="Times New Roman" w:cs="Times New Roman"/>
          <w:sz w:val="28"/>
          <w:szCs w:val="28"/>
          <w:lang w:val="uk-UA" w:eastAsia="ru-RU"/>
        </w:rPr>
        <w:t xml:space="preserve"> </w:t>
      </w:r>
      <w:r w:rsidRPr="00B44FAD">
        <w:rPr>
          <w:rFonts w:ascii="Times New Roman" w:eastAsia="Times New Roman" w:hAnsi="Times New Roman" w:cs="Times New Roman"/>
          <w:sz w:val="28"/>
          <w:szCs w:val="28"/>
          <w:lang w:val="uk-UA" w:eastAsia="ru-RU"/>
        </w:rPr>
        <w:t>осіб</w:t>
      </w:r>
      <w:r w:rsidR="0019086A" w:rsidRPr="0019086A">
        <w:rPr>
          <w:rFonts w:ascii="Times New Roman" w:eastAsia="Times New Roman" w:hAnsi="Times New Roman" w:cs="Times New Roman"/>
          <w:sz w:val="28"/>
          <w:szCs w:val="28"/>
          <w:lang w:val="uk-UA" w:eastAsia="ru-RU"/>
        </w:rPr>
        <w:t xml:space="preserve"> в адміністративному судочинстві </w:t>
      </w:r>
      <w:r w:rsidRPr="00B44FAD">
        <w:rPr>
          <w:rFonts w:ascii="Times New Roman" w:eastAsia="Times New Roman" w:hAnsi="Times New Roman" w:cs="Times New Roman"/>
          <w:sz w:val="28"/>
          <w:szCs w:val="28"/>
          <w:lang w:val="uk-UA" w:eastAsia="ru-RU"/>
        </w:rPr>
        <w:t>прийнято називати учасниками справи.</w:t>
      </w:r>
      <w:r w:rsidR="0019086A" w:rsidRPr="0019086A">
        <w:rPr>
          <w:rFonts w:ascii="Times New Roman" w:eastAsia="Times New Roman" w:hAnsi="Times New Roman" w:cs="Times New Roman"/>
          <w:sz w:val="28"/>
          <w:szCs w:val="28"/>
          <w:lang w:val="uk-UA" w:eastAsia="ru-RU"/>
        </w:rPr>
        <w:t xml:space="preserve"> Одразу звертає на себе увагу той факт, що раніше, до прийняття Закону України "Про внесення змін до Господарського процесуального кодексу України, Цивільного процесуального кодексу України, Кодексу адміністративного судочинства України та інших законодавчих актів" від 03.10.2017 № 2147-VIII, у Кодексі адміністративного судочинства України "учасники судового процесу" мали термінологічну назву "учасники адміністративного процесу". Вбачається логічну послідовність внесених законодавчих змін, адже як серед науковців, так і серед практиків точилися численні дискусії щодо розуміння поняття "адміністративного процесу", яке є значно ширшим за "судовий адміністративний процес" і виходить далеко за межі предмету регулювання Кодексу адміністративного судочинства України.</w:t>
      </w:r>
    </w:p>
    <w:p w:rsidR="0019086A" w:rsidRPr="0019086A" w:rsidRDefault="0019086A" w:rsidP="0001713C">
      <w:pPr>
        <w:autoSpaceDE w:val="0"/>
        <w:autoSpaceDN w:val="0"/>
        <w:spacing w:after="0" w:line="240" w:lineRule="auto"/>
        <w:ind w:firstLine="709"/>
        <w:contextualSpacing/>
        <w:jc w:val="both"/>
        <w:rPr>
          <w:rFonts w:ascii="Times New Roman" w:eastAsia="Times New Roman" w:hAnsi="Times New Roman" w:cs="Times New Roman"/>
          <w:sz w:val="28"/>
          <w:szCs w:val="28"/>
          <w:lang w:val="uk-UA" w:eastAsia="ru-RU"/>
        </w:rPr>
      </w:pPr>
      <w:r w:rsidRPr="0019086A">
        <w:rPr>
          <w:rFonts w:ascii="Times New Roman" w:eastAsia="Times New Roman" w:hAnsi="Times New Roman" w:cs="Times New Roman"/>
          <w:sz w:val="28"/>
          <w:szCs w:val="28"/>
          <w:lang w:val="uk-UA" w:eastAsia="ru-RU"/>
        </w:rPr>
        <w:t>Варто зазначити, що найменування учасників судового процесу зберігається за ними незалежно від стадії судового процесу. Проте на стадії виконання судових рішень в адміністративних справах наявні такі учасники як стягувач і боржник. Особа, яка подає до суду заяву, наприклад, позивач, який заявляє відвід судді, називається заявником. Хоча й Кодексом адміністративного судочинства України й не передбачено, проте на практиці трапляються випадки коли учасники справи – позивач чи відповідач – залежно від стадії процесу в судових рішеннях розкриваються як "апелянт" (ухвала Київського апеляційного адміністративного суду від 2.04.2018 року в справі №826/15436/17) чи "касатор" (ухвала Верховного Суду у складі колегії суддів Касаційного адміністративного суду від 10.01.2018 року в справі №826/18378/16).</w:t>
      </w:r>
    </w:p>
    <w:p w:rsidR="0019086A" w:rsidRPr="0019086A" w:rsidRDefault="00B44FAD" w:rsidP="0001713C">
      <w:pPr>
        <w:autoSpaceDE w:val="0"/>
        <w:autoSpaceDN w:val="0"/>
        <w:spacing w:after="0" w:line="24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Нагадаємо</w:t>
      </w:r>
      <w:r w:rsidR="0019086A" w:rsidRPr="0019086A">
        <w:rPr>
          <w:rFonts w:ascii="Times New Roman" w:eastAsia="Times New Roman" w:hAnsi="Times New Roman" w:cs="Times New Roman"/>
          <w:sz w:val="28"/>
          <w:szCs w:val="28"/>
          <w:lang w:val="uk-UA" w:eastAsia="ru-RU"/>
        </w:rPr>
        <w:t>, що сторонами в адміністративній справі є позивач та відповідач. Треті особи можуть бути ті, які заявляють самостійні вимоги щодо предмету спору та ті, які не заявляють самостійні вимог щодо предмету спору.</w:t>
      </w:r>
    </w:p>
    <w:p w:rsidR="00EA7997" w:rsidRPr="00EA7997" w:rsidRDefault="00EA7997" w:rsidP="0001713C">
      <w:pPr>
        <w:spacing w:after="0" w:line="240" w:lineRule="auto"/>
        <w:ind w:firstLine="709"/>
        <w:jc w:val="both"/>
        <w:rPr>
          <w:rFonts w:ascii="Times New Roman" w:eastAsia="Calibri" w:hAnsi="Times New Roman" w:cs="Times New Roman"/>
          <w:sz w:val="28"/>
          <w:szCs w:val="28"/>
          <w:lang w:val="uk-UA"/>
        </w:rPr>
      </w:pPr>
      <w:r w:rsidRPr="00EA7997">
        <w:rPr>
          <w:rFonts w:ascii="Times New Roman" w:eastAsia="Calibri" w:hAnsi="Times New Roman" w:cs="Times New Roman"/>
          <w:sz w:val="28"/>
          <w:szCs w:val="28"/>
          <w:lang w:val="uk-UA"/>
        </w:rPr>
        <w:t>Позивач - особа, на захист прав, свобод та інтересів якої подано позов до адміністративного суду, а також суб’єкт владних повноважень, на виконання повноважень якого подано позов до адміністративного суду.</w:t>
      </w:r>
    </w:p>
    <w:p w:rsidR="00EA7997" w:rsidRPr="00EA7997" w:rsidRDefault="00EA7997" w:rsidP="0001713C">
      <w:pPr>
        <w:spacing w:after="0" w:line="240" w:lineRule="auto"/>
        <w:ind w:firstLine="709"/>
        <w:jc w:val="both"/>
        <w:rPr>
          <w:rFonts w:ascii="Times New Roman" w:eastAsia="Calibri" w:hAnsi="Times New Roman" w:cs="Times New Roman"/>
          <w:sz w:val="28"/>
          <w:szCs w:val="28"/>
          <w:lang w:val="uk-UA"/>
        </w:rPr>
      </w:pPr>
      <w:bookmarkStart w:id="2" w:name="n9539"/>
      <w:bookmarkEnd w:id="2"/>
      <w:r w:rsidRPr="00EA7997">
        <w:rPr>
          <w:rFonts w:ascii="Times New Roman" w:eastAsia="Calibri" w:hAnsi="Times New Roman" w:cs="Times New Roman"/>
          <w:sz w:val="28"/>
          <w:szCs w:val="28"/>
          <w:lang w:val="uk-UA"/>
        </w:rPr>
        <w:t>Відповідач - суб’єкт владних повноважень, а у випадках, визначених законом, й інші особи, до яких звернена вимога позивача.</w:t>
      </w:r>
    </w:p>
    <w:p w:rsidR="00EA7997" w:rsidRPr="00EA7997" w:rsidRDefault="00EA7997" w:rsidP="0001713C">
      <w:pPr>
        <w:spacing w:after="0" w:line="240" w:lineRule="auto"/>
        <w:ind w:firstLine="709"/>
        <w:jc w:val="both"/>
        <w:rPr>
          <w:rFonts w:ascii="Times New Roman" w:eastAsia="Calibri" w:hAnsi="Times New Roman" w:cs="Times New Roman"/>
          <w:sz w:val="28"/>
          <w:szCs w:val="28"/>
          <w:lang w:val="uk-UA"/>
        </w:rPr>
      </w:pPr>
      <w:r w:rsidRPr="00EA7997">
        <w:rPr>
          <w:rFonts w:ascii="Times New Roman" w:eastAsia="Calibri" w:hAnsi="Times New Roman" w:cs="Times New Roman"/>
          <w:sz w:val="28"/>
          <w:szCs w:val="28"/>
          <w:lang w:val="uk-UA"/>
        </w:rPr>
        <w:t>Суб’єкт владних повноважень - орган державної влади, орган місцевого самоврядування, їх посадова чи службова особа, інший суб’єкт при здійсненні ними публічно-владних управлінських функцій на підставі законодавства, в тому числі на виконання делегованих повноважень, або наданні адміністративних послуг.</w:t>
      </w:r>
      <w:bookmarkStart w:id="3" w:name="n9538"/>
      <w:bookmarkEnd w:id="3"/>
    </w:p>
    <w:p w:rsidR="00EA7997" w:rsidRPr="00EA7997" w:rsidRDefault="00EA7997" w:rsidP="0001713C">
      <w:pPr>
        <w:spacing w:after="0" w:line="240" w:lineRule="auto"/>
        <w:ind w:firstLine="709"/>
        <w:jc w:val="both"/>
        <w:rPr>
          <w:rFonts w:ascii="Times New Roman" w:eastAsia="Calibri" w:hAnsi="Times New Roman" w:cs="Times New Roman"/>
          <w:sz w:val="28"/>
          <w:szCs w:val="28"/>
          <w:lang w:val="uk-UA"/>
        </w:rPr>
      </w:pPr>
      <w:r w:rsidRPr="00EA7997">
        <w:rPr>
          <w:rFonts w:ascii="Times New Roman" w:eastAsia="Calibri" w:hAnsi="Times New Roman" w:cs="Times New Roman"/>
          <w:sz w:val="28"/>
          <w:szCs w:val="28"/>
          <w:lang w:val="uk-UA"/>
        </w:rPr>
        <w:t>Як позивач, так і відповідач мають право ознайомлюватися з матеріалами справи, робити з них витяги, копії, одержувати копії судових рішень; подавати докази; брати участь у судових засіданнях, якщо інше не визначено законом; брати участь у дослідженні доказів; ставити питання іншим учасникам справи, а також свідкам, експертам, спеціалістам; подавати заяви та клопотання, надавати пояснення суду, наводити свої доводи, міркування щодо питань, які виникають під час судового розгляду, і заперечення проти заяв, клопотань, доводів і міркувань інших осіб; ознайомлюватися з протоколом судового засідання, записом фіксування судового засідання технічними засобами, робити з них копії, подавати письмові зауваження з приводу їх неправильності чи неповноти; оскаржувати судові рішення у визначених законом випадках; користуватися іншими визначеними законом процесуальними правами.</w:t>
      </w:r>
    </w:p>
    <w:p w:rsidR="00EA7997" w:rsidRPr="00EA7997" w:rsidRDefault="00EA7997" w:rsidP="0001713C">
      <w:pPr>
        <w:spacing w:after="0" w:line="240" w:lineRule="auto"/>
        <w:ind w:firstLine="709"/>
        <w:jc w:val="both"/>
        <w:rPr>
          <w:rFonts w:ascii="Times New Roman" w:eastAsia="Calibri" w:hAnsi="Times New Roman" w:cs="Times New Roman"/>
          <w:sz w:val="28"/>
          <w:szCs w:val="28"/>
          <w:lang w:val="uk-UA"/>
        </w:rPr>
      </w:pPr>
      <w:r w:rsidRPr="00EA7997">
        <w:rPr>
          <w:rFonts w:ascii="Times New Roman" w:eastAsia="Calibri" w:hAnsi="Times New Roman" w:cs="Times New Roman"/>
          <w:sz w:val="28"/>
          <w:szCs w:val="28"/>
          <w:lang w:val="uk-UA"/>
        </w:rPr>
        <w:t>Крім того, позивач має право на будь-якій стадії судового процесу відмовитися від позову. Позивач має право змінити предмет або підстави позову, збільшити або зменшити розмір позовних вимог шляхом подання письмової заяви до закінчення підготовчого засідання або не пізніше ніж за п’ять днів до першого судового засідання, якщо справа розглядається в порядку спрощеного позовного провадження.</w:t>
      </w:r>
    </w:p>
    <w:p w:rsidR="00EA7997" w:rsidRPr="00EA7997" w:rsidRDefault="00EA7997" w:rsidP="0001713C">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EA7997">
        <w:rPr>
          <w:rFonts w:ascii="Times New Roman" w:eastAsia="Times New Roman" w:hAnsi="Times New Roman" w:cs="Times New Roman"/>
          <w:color w:val="000000"/>
          <w:sz w:val="28"/>
          <w:szCs w:val="28"/>
          <w:lang w:val="uk-UA" w:eastAsia="ru-RU"/>
        </w:rPr>
        <w:t>Відповідач має право визнати позов повністю або частково, подати відзив на позовну заяву.</w:t>
      </w:r>
    </w:p>
    <w:p w:rsidR="00EA7997" w:rsidRPr="00EA7997" w:rsidRDefault="00EA7997" w:rsidP="0001713C">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EA7997">
        <w:rPr>
          <w:rFonts w:ascii="Times New Roman" w:eastAsia="Times New Roman" w:hAnsi="Times New Roman" w:cs="Times New Roman"/>
          <w:color w:val="000000"/>
          <w:sz w:val="28"/>
          <w:szCs w:val="28"/>
          <w:lang w:val="uk-UA" w:eastAsia="ru-RU"/>
        </w:rPr>
        <w:t>Відповідач, який не є суб’єктом владних повноважень, може пред’явити зустрічний позов.</w:t>
      </w:r>
    </w:p>
    <w:p w:rsidR="00EA7997" w:rsidRPr="00EA7997" w:rsidRDefault="00EA7997" w:rsidP="0001713C">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bookmarkStart w:id="4" w:name="n9936"/>
      <w:bookmarkEnd w:id="4"/>
      <w:r w:rsidRPr="00EA7997">
        <w:rPr>
          <w:rFonts w:ascii="Times New Roman" w:eastAsia="Times New Roman" w:hAnsi="Times New Roman" w:cs="Times New Roman"/>
          <w:color w:val="000000"/>
          <w:sz w:val="28"/>
          <w:szCs w:val="28"/>
          <w:lang w:val="uk-UA" w:eastAsia="ru-RU"/>
        </w:rPr>
        <w:t>Сторони можуть досягнути примирення на будь-якій стадії судового процесу, що є підставою для закриття провадження в адміністративній справі.</w:t>
      </w:r>
    </w:p>
    <w:p w:rsidR="00EA7997" w:rsidRDefault="00EA7997" w:rsidP="0001713C">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EA7997">
        <w:rPr>
          <w:rFonts w:ascii="Times New Roman" w:eastAsia="Times New Roman" w:hAnsi="Times New Roman" w:cs="Times New Roman"/>
          <w:color w:val="000000"/>
          <w:sz w:val="28"/>
          <w:szCs w:val="28"/>
          <w:lang w:val="uk-UA" w:eastAsia="ru-RU"/>
        </w:rPr>
        <w:t>Обов’язок виготовлення та подання позовної заяви лежить на позивачу. Текст відзиву виготовляє відповідач. Відповідь на відзив складає позивач. У запереченні відповідач викладає свої пояснення, міркування та аргументи щодо наведених позивачем у відповіді на відзив пояснень, міркувань та аргументів і мотиви їх визнання або відхилення.</w:t>
      </w:r>
    </w:p>
    <w:p w:rsidR="00B44FAD" w:rsidRPr="00B44FAD" w:rsidRDefault="00B44FAD" w:rsidP="0001713C">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Зауважимо, що </w:t>
      </w:r>
      <w:r w:rsidRPr="00B44FAD">
        <w:rPr>
          <w:rFonts w:ascii="Times New Roman" w:eastAsia="Times New Roman" w:hAnsi="Times New Roman" w:cs="Times New Roman"/>
          <w:color w:val="000000"/>
          <w:sz w:val="28"/>
          <w:szCs w:val="28"/>
          <w:lang w:val="uk-UA" w:eastAsia="ru-RU"/>
        </w:rPr>
        <w:t>при поданні позову до адміністрати</w:t>
      </w:r>
      <w:r>
        <w:rPr>
          <w:rFonts w:ascii="Times New Roman" w:eastAsia="Times New Roman" w:hAnsi="Times New Roman" w:cs="Times New Roman"/>
          <w:color w:val="000000"/>
          <w:sz w:val="28"/>
          <w:szCs w:val="28"/>
          <w:lang w:val="uk-UA" w:eastAsia="ru-RU"/>
        </w:rPr>
        <w:t xml:space="preserve">вного суду </w:t>
      </w:r>
      <w:r w:rsidRPr="00B44FAD">
        <w:rPr>
          <w:rFonts w:ascii="Times New Roman" w:eastAsia="Times New Roman" w:hAnsi="Times New Roman" w:cs="Times New Roman"/>
          <w:color w:val="000000"/>
          <w:sz w:val="28"/>
          <w:szCs w:val="28"/>
          <w:lang w:val="uk-UA" w:eastAsia="ru-RU"/>
        </w:rPr>
        <w:t>виникають правовідносини між позивачем та судом. Проте для настання правовідносин між позивачем та відповідачем недостатньо лише цього юридичного факту. У даному випадку необхідно, щоб утворився фактичний склад із двох юридичних фактів. Перший – подана до суду позовна заява, другий постановлення судом ухвали про відкриття провадження у справі</w:t>
      </w:r>
      <w:r w:rsidR="00FB58E9">
        <w:rPr>
          <w:rFonts w:ascii="Times New Roman" w:eastAsia="Times New Roman" w:hAnsi="Times New Roman" w:cs="Times New Roman"/>
          <w:color w:val="000000"/>
          <w:sz w:val="28"/>
          <w:szCs w:val="28"/>
          <w:lang w:val="uk-UA" w:eastAsia="ru-RU"/>
        </w:rPr>
        <w:t xml:space="preserve"> [1, </w:t>
      </w:r>
      <w:r w:rsidR="0001713C">
        <w:rPr>
          <w:rFonts w:ascii="Times New Roman" w:eastAsia="Times New Roman" w:hAnsi="Times New Roman" w:cs="Times New Roman"/>
          <w:color w:val="000000"/>
          <w:sz w:val="28"/>
          <w:szCs w:val="28"/>
          <w:lang w:val="uk-UA" w:eastAsia="ru-RU"/>
        </w:rPr>
        <w:t>120</w:t>
      </w:r>
      <w:r w:rsidR="00FB58E9">
        <w:rPr>
          <w:rFonts w:ascii="Times New Roman" w:eastAsia="Times New Roman" w:hAnsi="Times New Roman" w:cs="Times New Roman"/>
          <w:color w:val="000000"/>
          <w:sz w:val="28"/>
          <w:szCs w:val="28"/>
          <w:lang w:val="uk-UA" w:eastAsia="ru-RU"/>
        </w:rPr>
        <w:t>]</w:t>
      </w:r>
      <w:r w:rsidRPr="00B44FAD">
        <w:rPr>
          <w:rFonts w:ascii="Times New Roman" w:eastAsia="Times New Roman" w:hAnsi="Times New Roman" w:cs="Times New Roman"/>
          <w:color w:val="000000"/>
          <w:sz w:val="28"/>
          <w:szCs w:val="28"/>
          <w:lang w:val="uk-UA" w:eastAsia="ru-RU"/>
        </w:rPr>
        <w:t>.</w:t>
      </w:r>
    </w:p>
    <w:p w:rsidR="00EA7997" w:rsidRPr="00EA7997" w:rsidRDefault="00EA7997" w:rsidP="0001713C">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EA7997">
        <w:rPr>
          <w:rFonts w:ascii="Times New Roman" w:eastAsia="Times New Roman" w:hAnsi="Times New Roman" w:cs="Times New Roman"/>
          <w:color w:val="000000"/>
          <w:sz w:val="28"/>
          <w:szCs w:val="28"/>
          <w:lang w:val="uk-UA" w:eastAsia="ru-RU"/>
        </w:rPr>
        <w:t>Оскільки Кодекс адміністративного судочинства України своїм завданням визначив справедливе, неупереджене та своєчасне вирішення судом спорів у сфері публічно-правових відносин з метою ефективного захисту прав, свобод та інтересів фізичних осіб, прав та інтересів юридичних осіб від порушень з боку суб’єктів владних повноважень, то й законодавець передбачив виключні випадки коли суб'єкт владних повноважень може звернутися до суду з позовом з такими вимогами: про тимчасову заборону (зупинення) окремих видів або всієї діяльності громадського об’єднання; про примусовий розпуск (ліквідацію) громадського об’єднання; про затримання іноземця або особи без громадянства чи примусове видворення за межі території України; про встановлення обмежень щодо реалізації права на свободу мирних зібрань (збори, мітинги, походи, демонстрації тощо); в інших випадках, коли право звернення до суду надано суб’єкту владних повноважень законом.</w:t>
      </w:r>
    </w:p>
    <w:p w:rsidR="00EA7997" w:rsidRPr="00EA7997" w:rsidRDefault="00EA7997" w:rsidP="0001713C">
      <w:pPr>
        <w:spacing w:after="0" w:line="240" w:lineRule="auto"/>
        <w:ind w:firstLine="709"/>
        <w:jc w:val="both"/>
        <w:rPr>
          <w:rFonts w:ascii="Times New Roman" w:eastAsia="Calibri" w:hAnsi="Times New Roman" w:cs="Times New Roman"/>
          <w:sz w:val="28"/>
          <w:szCs w:val="28"/>
          <w:lang w:val="uk-UA"/>
        </w:rPr>
      </w:pPr>
      <w:r w:rsidRPr="00EA7997">
        <w:rPr>
          <w:rFonts w:ascii="Times New Roman" w:eastAsia="Calibri" w:hAnsi="Times New Roman" w:cs="Times New Roman"/>
          <w:sz w:val="28"/>
          <w:szCs w:val="28"/>
          <w:lang w:val="uk-UA"/>
        </w:rPr>
        <w:t>Треті особи в адміністративному судочинстві поділяються на два види:</w:t>
      </w:r>
    </w:p>
    <w:p w:rsidR="00EA7997" w:rsidRPr="00EA7997" w:rsidRDefault="00EA7997" w:rsidP="0001713C">
      <w:pPr>
        <w:spacing w:after="0" w:line="240" w:lineRule="auto"/>
        <w:ind w:firstLine="709"/>
        <w:jc w:val="both"/>
        <w:rPr>
          <w:rFonts w:ascii="Times New Roman" w:eastAsia="Calibri" w:hAnsi="Times New Roman" w:cs="Times New Roman"/>
          <w:sz w:val="28"/>
          <w:szCs w:val="28"/>
          <w:lang w:val="uk-UA"/>
        </w:rPr>
      </w:pPr>
      <w:r w:rsidRPr="00EA7997">
        <w:rPr>
          <w:rFonts w:ascii="Times New Roman" w:eastAsia="Calibri" w:hAnsi="Times New Roman" w:cs="Times New Roman"/>
          <w:sz w:val="28"/>
          <w:szCs w:val="28"/>
          <w:lang w:val="uk-UA"/>
        </w:rPr>
        <w:t>1) треті особи, які заявляють самостійні вимоги щодо предмета спору;</w:t>
      </w:r>
    </w:p>
    <w:p w:rsidR="00EA7997" w:rsidRPr="00EA7997" w:rsidRDefault="00EA7997" w:rsidP="0001713C">
      <w:pPr>
        <w:spacing w:after="0" w:line="240" w:lineRule="auto"/>
        <w:ind w:firstLine="709"/>
        <w:jc w:val="both"/>
        <w:rPr>
          <w:rFonts w:ascii="Times New Roman" w:eastAsia="Calibri" w:hAnsi="Times New Roman" w:cs="Times New Roman"/>
          <w:sz w:val="28"/>
          <w:szCs w:val="28"/>
          <w:lang w:val="uk-UA"/>
        </w:rPr>
      </w:pPr>
      <w:r w:rsidRPr="00EA7997">
        <w:rPr>
          <w:rFonts w:ascii="Times New Roman" w:eastAsia="Calibri" w:hAnsi="Times New Roman" w:cs="Times New Roman"/>
          <w:sz w:val="28"/>
          <w:szCs w:val="28"/>
          <w:lang w:val="uk-UA"/>
        </w:rPr>
        <w:t>2) треті особи, які не заявляють самостійних вимог щодо предмета спору.</w:t>
      </w:r>
    </w:p>
    <w:p w:rsidR="00EA7997" w:rsidRPr="00EA7997" w:rsidRDefault="00EA7997" w:rsidP="0001713C">
      <w:pPr>
        <w:spacing w:after="0" w:line="240" w:lineRule="auto"/>
        <w:ind w:firstLine="709"/>
        <w:jc w:val="both"/>
        <w:rPr>
          <w:rFonts w:ascii="Times New Roman" w:eastAsia="Calibri" w:hAnsi="Times New Roman" w:cs="Times New Roman"/>
          <w:sz w:val="28"/>
          <w:szCs w:val="28"/>
          <w:lang w:val="uk-UA"/>
        </w:rPr>
      </w:pPr>
      <w:r w:rsidRPr="00EA7997">
        <w:rPr>
          <w:rFonts w:ascii="Times New Roman" w:eastAsia="Calibri" w:hAnsi="Times New Roman" w:cs="Times New Roman"/>
          <w:sz w:val="28"/>
          <w:szCs w:val="28"/>
          <w:lang w:val="uk-UA"/>
        </w:rPr>
        <w:t>Треті особи належать до числа осіб, які мають матеріально-правову і процесуально-правову заінтересованість у справі.</w:t>
      </w:r>
    </w:p>
    <w:p w:rsidR="00EA7997" w:rsidRPr="00EA7997" w:rsidRDefault="00EA7997" w:rsidP="0001713C">
      <w:pPr>
        <w:spacing w:after="0" w:line="240" w:lineRule="auto"/>
        <w:ind w:firstLine="709"/>
        <w:jc w:val="both"/>
        <w:rPr>
          <w:rFonts w:ascii="Times New Roman" w:eastAsia="Calibri" w:hAnsi="Times New Roman" w:cs="Times New Roman"/>
          <w:sz w:val="28"/>
          <w:szCs w:val="28"/>
          <w:lang w:val="uk-UA"/>
        </w:rPr>
      </w:pPr>
      <w:r w:rsidRPr="00EA7997">
        <w:rPr>
          <w:rFonts w:ascii="Times New Roman" w:eastAsia="Calibri" w:hAnsi="Times New Roman" w:cs="Times New Roman"/>
          <w:sz w:val="28"/>
          <w:szCs w:val="28"/>
          <w:lang w:val="uk-UA"/>
        </w:rPr>
        <w:t>Участь в справі третіх осіб в адміністративному судочинстві обумовлено тим, що предмет спору в тій чи іншій мірі має відношення до прав, свобод чи інтересів інших, окрім позивача та відповідача, осіб. Треті особи можуть мати в справі як матеріально-правову так і процесуально-правову заінтересованість. Участь в судовій адміністративній справі третьої особи сприяє всебічному, оперативному розгляду справи, сприяє процесуальній економії.</w:t>
      </w:r>
    </w:p>
    <w:p w:rsidR="00EA7997" w:rsidRPr="00EA7997" w:rsidRDefault="00EA7997" w:rsidP="0001713C">
      <w:pPr>
        <w:spacing w:after="0" w:line="240" w:lineRule="auto"/>
        <w:ind w:firstLine="709"/>
        <w:jc w:val="both"/>
        <w:rPr>
          <w:rFonts w:ascii="Times New Roman" w:eastAsia="Calibri" w:hAnsi="Times New Roman" w:cs="Times New Roman"/>
          <w:sz w:val="28"/>
          <w:szCs w:val="28"/>
          <w:lang w:val="uk-UA"/>
        </w:rPr>
      </w:pPr>
      <w:r w:rsidRPr="00EA7997">
        <w:rPr>
          <w:rFonts w:ascii="Times New Roman" w:eastAsia="Calibri" w:hAnsi="Times New Roman" w:cs="Times New Roman"/>
          <w:sz w:val="28"/>
          <w:szCs w:val="28"/>
          <w:lang w:val="uk-UA"/>
        </w:rPr>
        <w:t>Треті особи, які заявляють самостійні вимоги щодо предмета спору, можуть вступити у справу до закінчення судового розгляду, пред'явивши позов до однієї чи обох сторін.</w:t>
      </w:r>
    </w:p>
    <w:p w:rsidR="00EA7997" w:rsidRPr="00EA7997" w:rsidRDefault="00EA7997" w:rsidP="0001713C">
      <w:pPr>
        <w:spacing w:after="0" w:line="240" w:lineRule="auto"/>
        <w:ind w:firstLine="709"/>
        <w:jc w:val="both"/>
        <w:rPr>
          <w:rFonts w:ascii="Times New Roman" w:eastAsia="Calibri" w:hAnsi="Times New Roman" w:cs="Times New Roman"/>
          <w:sz w:val="28"/>
          <w:szCs w:val="28"/>
          <w:lang w:val="uk-UA"/>
        </w:rPr>
      </w:pPr>
      <w:r w:rsidRPr="00EA7997">
        <w:rPr>
          <w:rFonts w:ascii="Times New Roman" w:eastAsia="Calibri" w:hAnsi="Times New Roman" w:cs="Times New Roman"/>
          <w:sz w:val="28"/>
          <w:szCs w:val="28"/>
          <w:lang w:val="uk-UA"/>
        </w:rPr>
        <w:t xml:space="preserve">Треті особи, які не заявляють самостійних вимог на предмет спору, можуть вступити у справу на стороні позивача або відповідача. Треті особи цього виду вступають у процес, не подаючи позову. </w:t>
      </w:r>
    </w:p>
    <w:p w:rsidR="00EA7997" w:rsidRPr="00EA7997" w:rsidRDefault="00EA7997" w:rsidP="0001713C">
      <w:pPr>
        <w:spacing w:after="0" w:line="240" w:lineRule="auto"/>
        <w:ind w:firstLine="709"/>
        <w:jc w:val="both"/>
        <w:rPr>
          <w:rFonts w:ascii="Times New Roman" w:eastAsia="Calibri" w:hAnsi="Times New Roman" w:cs="Times New Roman"/>
          <w:sz w:val="28"/>
          <w:szCs w:val="28"/>
          <w:lang w:val="uk-UA"/>
        </w:rPr>
      </w:pPr>
      <w:r w:rsidRPr="00EA7997">
        <w:rPr>
          <w:rFonts w:ascii="Times New Roman" w:eastAsia="Calibri" w:hAnsi="Times New Roman" w:cs="Times New Roman"/>
          <w:sz w:val="28"/>
          <w:szCs w:val="28"/>
          <w:lang w:val="uk-UA"/>
        </w:rPr>
        <w:t>Крім вступу в справу за власною ініціативою, може мати місце залучення до участі у справі також за клопотанням сторін, інших осіб, які беруть участь у справі, чи з ініціативи суду. Проте в усіх випадках, це питання вирішується ухвалою суду.</w:t>
      </w:r>
    </w:p>
    <w:p w:rsidR="00EA7997" w:rsidRPr="00EA7997" w:rsidRDefault="00EA7997" w:rsidP="0001713C">
      <w:pPr>
        <w:spacing w:after="0" w:line="240" w:lineRule="auto"/>
        <w:ind w:firstLine="709"/>
        <w:jc w:val="both"/>
        <w:rPr>
          <w:rFonts w:ascii="Times New Roman" w:eastAsia="Calibri" w:hAnsi="Times New Roman" w:cs="Times New Roman"/>
          <w:sz w:val="28"/>
          <w:szCs w:val="28"/>
          <w:lang w:val="uk-UA"/>
        </w:rPr>
      </w:pPr>
      <w:r w:rsidRPr="00EA7997">
        <w:rPr>
          <w:rFonts w:ascii="Times New Roman" w:eastAsia="Calibri" w:hAnsi="Times New Roman" w:cs="Times New Roman"/>
          <w:sz w:val="28"/>
          <w:szCs w:val="28"/>
          <w:lang w:val="uk-UA"/>
        </w:rPr>
        <w:t xml:space="preserve">Так, ухвалюючи постанову від 28.03.2018 року у справі №826/14052/17 за позовом ОСОБА_2 до Управління Державної міграційної служби України в Київській області про визнання протиправним та скасування рішення, зобов'язання </w:t>
      </w:r>
      <w:r w:rsidRPr="00EA7997">
        <w:rPr>
          <w:rFonts w:ascii="Times New Roman" w:eastAsia="Calibri" w:hAnsi="Times New Roman" w:cs="Times New Roman"/>
          <w:sz w:val="28"/>
          <w:szCs w:val="28"/>
          <w:lang w:val="uk-UA"/>
        </w:rPr>
        <w:lastRenderedPageBreak/>
        <w:t>вчинити дії, Верховний Суд у складі колегії суддів Касаційного адміністративного суду, посилаючись на ч.2 ст.49 КАС України, дійшов висновку про законність судових рішень судів попередніх інстанцій щодо відмови в залученні до справи в якості третьої особи Міністерства юстиції України, оскільки як вбачається з предмету спору у цій справі, рішення у ній не впливає на права, свободи, інтереси або обов'язки Міністерства юстиції України.</w:t>
      </w:r>
    </w:p>
    <w:p w:rsidR="00EA7997" w:rsidRPr="00EA7997" w:rsidRDefault="00EA7997" w:rsidP="0001713C">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EA7997">
        <w:rPr>
          <w:rFonts w:ascii="Times New Roman" w:eastAsia="Times New Roman" w:hAnsi="Times New Roman" w:cs="Times New Roman"/>
          <w:sz w:val="28"/>
          <w:szCs w:val="28"/>
          <w:lang w:val="uk-UA" w:eastAsia="ru-RU"/>
        </w:rPr>
        <w:t xml:space="preserve">Треті особи, які не заявляють самостійних вимог щодо предмета спору, мають </w:t>
      </w:r>
      <w:r w:rsidRPr="00EA7997">
        <w:rPr>
          <w:rFonts w:ascii="Times New Roman" w:eastAsia="Times New Roman" w:hAnsi="Times New Roman" w:cs="Times New Roman"/>
          <w:color w:val="000000"/>
          <w:sz w:val="28"/>
          <w:szCs w:val="28"/>
          <w:lang w:val="uk-UA" w:eastAsia="ru-RU"/>
        </w:rPr>
        <w:t>право ознайомлюватися з матеріалами справи, робити з них витяги, копії, одержувати копії судових рішень; подавати докази; брати участь у судових засіданнях, якщо інше не визначено законом; брати участь у дослідженні доказів; ставити питання іншим учасникам справи, а також свідкам, експертам, спеціалістам; подавати заяви та клопотання, надавати пояснення суду, наводити свої доводи, міркування щодо питань, які виникають під час судового розгляду, і заперечення проти заяв, клопотань, доводів і міркувань інших осіб; ознайомлюватися з протоколом судового засідання, записом фіксування судового засідання технічними засобами, робити з них копії, подавати письмові зауваження з приводу їх неправильності чи неповноти; оскаржувати судові рішення у визначених законом випадках; користуватися іншими визначеними законом процесуальними правами; за власний рахунок додатково замовити та отримати в суді засвідчені копії документів і витяги з них; а також зобов’язані виявляти повагу до суду та до інших учасників судового процесу; сприяти своєчасному, всебічному, повному та об’єктивному встановленню всіх обставин справи; з’являтися в судове засідання за викликом суду, якщо їх явка визнана судом обов’язковою; подавати наявні у них докази в порядку та строки, встановлені законом або судом, не приховувати докази; надавати суду повні і достовірні пояснення з питань, які ставляться судом, а також учасниками справи в судовому засіданні; виконувати процесуальні дії у встановлені законом або судом строки; виконувати інші процесуальні обов’язки, визначені законом або судом.</w:t>
      </w:r>
    </w:p>
    <w:p w:rsidR="00EA7997" w:rsidRPr="00EA7997" w:rsidRDefault="00EA7997" w:rsidP="0001713C">
      <w:pPr>
        <w:spacing w:after="0" w:line="240" w:lineRule="auto"/>
        <w:ind w:firstLine="709"/>
        <w:jc w:val="both"/>
        <w:rPr>
          <w:rFonts w:ascii="Times New Roman" w:eastAsia="Calibri" w:hAnsi="Times New Roman" w:cs="Times New Roman"/>
          <w:sz w:val="28"/>
          <w:szCs w:val="28"/>
          <w:lang w:val="uk-UA"/>
        </w:rPr>
      </w:pPr>
      <w:r w:rsidRPr="00EA7997">
        <w:rPr>
          <w:rFonts w:ascii="Times New Roman" w:eastAsia="Calibri" w:hAnsi="Times New Roman" w:cs="Times New Roman"/>
          <w:sz w:val="28"/>
          <w:szCs w:val="28"/>
          <w:lang w:val="uk-UA"/>
        </w:rPr>
        <w:t>Крім вищезазначених прав та обов’язків, треті особи, які заявляють самостійні вимоги щодо предмета спору, мають права позивача, зокрема на будь-якій стадії судового процесу відмовитися від позову, змінити предмет або підстави позову, збільшити або зменшити розмір позовних вимог шляхом подання письмової заяви до закінчення підготовчого засідання або не пізніше ніж за п’ять днів до першого судового засідання, якщо справа розглядається в порядку спрощеного позовного провадження тощо.</w:t>
      </w:r>
    </w:p>
    <w:p w:rsidR="0019086A" w:rsidRDefault="0001713C" w:rsidP="0001713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Список літератури:</w:t>
      </w:r>
    </w:p>
    <w:p w:rsidR="0001713C" w:rsidRPr="00B44FAD" w:rsidRDefault="0001713C" w:rsidP="0001713C">
      <w:pPr>
        <w:spacing w:after="0" w:line="240" w:lineRule="auto"/>
        <w:ind w:firstLine="709"/>
        <w:jc w:val="both"/>
        <w:rPr>
          <w:rFonts w:ascii="Times New Roman" w:hAnsi="Times New Roman" w:cs="Times New Roman"/>
          <w:sz w:val="28"/>
          <w:szCs w:val="28"/>
          <w:lang w:val="uk-UA"/>
        </w:rPr>
      </w:pPr>
      <w:r w:rsidRPr="0001713C">
        <w:rPr>
          <w:rFonts w:ascii="Times New Roman" w:hAnsi="Times New Roman" w:cs="Times New Roman"/>
          <w:sz w:val="28"/>
          <w:szCs w:val="28"/>
          <w:lang w:val="uk-UA"/>
        </w:rPr>
        <w:t>Гордєєв В. В. Детермінація юридичних фактів у адміністративному с</w:t>
      </w:r>
      <w:r>
        <w:rPr>
          <w:rFonts w:ascii="Times New Roman" w:hAnsi="Times New Roman" w:cs="Times New Roman"/>
          <w:sz w:val="28"/>
          <w:szCs w:val="28"/>
          <w:lang w:val="uk-UA"/>
        </w:rPr>
        <w:t xml:space="preserve">удочинстві України : монографія. Х. : Харків юридичний. 2013. </w:t>
      </w:r>
      <w:r w:rsidRPr="0001713C">
        <w:rPr>
          <w:rFonts w:ascii="Times New Roman" w:hAnsi="Times New Roman" w:cs="Times New Roman"/>
          <w:sz w:val="28"/>
          <w:szCs w:val="28"/>
          <w:lang w:val="uk-UA"/>
        </w:rPr>
        <w:t>252 с.</w:t>
      </w:r>
    </w:p>
    <w:p w:rsidR="0019086A" w:rsidRPr="00B44FAD" w:rsidRDefault="0019086A" w:rsidP="0001713C">
      <w:pPr>
        <w:spacing w:after="0" w:line="240" w:lineRule="auto"/>
        <w:ind w:firstLine="709"/>
        <w:jc w:val="both"/>
        <w:rPr>
          <w:rFonts w:ascii="Times New Roman" w:hAnsi="Times New Roman" w:cs="Times New Roman"/>
          <w:sz w:val="28"/>
          <w:szCs w:val="28"/>
          <w:lang w:val="uk-UA"/>
        </w:rPr>
      </w:pPr>
    </w:p>
    <w:sectPr w:rsidR="0019086A" w:rsidRPr="00B44FAD" w:rsidSect="0001713C">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5A55D7"/>
    <w:multiLevelType w:val="hybridMultilevel"/>
    <w:tmpl w:val="B45829D6"/>
    <w:lvl w:ilvl="0" w:tplc="FBBCE6D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6A"/>
    <w:rsid w:val="0001713C"/>
    <w:rsid w:val="0019086A"/>
    <w:rsid w:val="003D3605"/>
    <w:rsid w:val="00B44FAD"/>
    <w:rsid w:val="00C73133"/>
    <w:rsid w:val="00C75327"/>
    <w:rsid w:val="00D10514"/>
    <w:rsid w:val="00E159C7"/>
    <w:rsid w:val="00EA7997"/>
    <w:rsid w:val="00FB5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923921-30C0-4C0A-A86E-42050506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908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cid.org/0000-0002-1778-0432" TargetMode="External"/><Relationship Id="rId5" Type="http://schemas.openxmlformats.org/officeDocument/2006/relationships/hyperlink" Target="mailto:v.gordieiev@chnu.edu.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1627</Words>
  <Characters>9280</Characters>
  <Application>Microsoft Office Word</Application>
  <DocSecurity>0</DocSecurity>
  <Lines>77</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2021-11-20T17:11:00Z</dcterms:created>
  <dcterms:modified xsi:type="dcterms:W3CDTF">2021-11-20T17:11:00Z</dcterms:modified>
</cp:coreProperties>
</file>