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48AB8" w14:textId="62A4B204" w:rsidR="00F12C76" w:rsidRDefault="00F85D6F" w:rsidP="006B44D3">
      <w:pPr>
        <w:spacing w:after="0"/>
        <w:ind w:firstLine="709"/>
        <w:jc w:val="both"/>
        <w:rPr>
          <w:b/>
          <w:bCs/>
          <w:lang w:val="uk-UA"/>
        </w:rPr>
      </w:pPr>
      <w:r>
        <w:rPr>
          <w:b/>
          <w:bCs/>
          <w:lang w:val="uk-UA"/>
        </w:rPr>
        <w:t>2. Методика і технології навчання іноземним мовам</w:t>
      </w:r>
    </w:p>
    <w:p w14:paraId="634E357E" w14:textId="633971C6" w:rsidR="00F85D6F" w:rsidRDefault="00F85D6F" w:rsidP="006B44D3">
      <w:pPr>
        <w:spacing w:after="0"/>
        <w:ind w:firstLine="709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                       Бортник С.Б.</w:t>
      </w:r>
    </w:p>
    <w:p w14:paraId="2DCE9D09" w14:textId="52F23054" w:rsidR="00F85D6F" w:rsidRDefault="00F85D6F" w:rsidP="006B44D3">
      <w:pPr>
        <w:spacing w:after="0"/>
        <w:ind w:firstLine="709"/>
        <w:jc w:val="both"/>
        <w:rPr>
          <w:i/>
          <w:iCs/>
          <w:lang w:val="uk-UA"/>
        </w:rPr>
      </w:pPr>
      <w:r>
        <w:rPr>
          <w:i/>
          <w:iCs/>
          <w:lang w:val="uk-UA"/>
        </w:rPr>
        <w:t>Чернівецький національний університет імені Юрія Федьковича</w:t>
      </w:r>
    </w:p>
    <w:p w14:paraId="3034F449" w14:textId="7A8C7254" w:rsidR="00F85D6F" w:rsidRDefault="00F85D6F" w:rsidP="006B44D3">
      <w:pPr>
        <w:spacing w:after="0"/>
        <w:ind w:firstLine="709"/>
        <w:jc w:val="both"/>
        <w:rPr>
          <w:lang w:val="uk-UA"/>
        </w:rPr>
      </w:pPr>
    </w:p>
    <w:p w14:paraId="790AEA3C" w14:textId="223F4B5B" w:rsidR="00F85D6F" w:rsidRDefault="00F85D6F" w:rsidP="006B44D3">
      <w:pPr>
        <w:spacing w:after="0"/>
        <w:ind w:firstLine="709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РЕФЕРУВАННЯ ТА АНОТУВАННЯ У ВИВЧЕННІ ІНОЗЕМНОЇ МОВИ ЗА ПРОФЕСІЙНИМ СПРЯМУВАННЯМ</w:t>
      </w:r>
    </w:p>
    <w:p w14:paraId="713A948F" w14:textId="6F621C1F" w:rsidR="000B3025" w:rsidRDefault="000B3025" w:rsidP="006B44D3">
      <w:pPr>
        <w:spacing w:after="0"/>
        <w:ind w:firstLine="709"/>
        <w:jc w:val="center"/>
        <w:rPr>
          <w:b/>
          <w:bCs/>
          <w:lang w:val="uk-UA"/>
        </w:rPr>
      </w:pPr>
    </w:p>
    <w:p w14:paraId="45636009" w14:textId="7ACD0399" w:rsidR="00232BB8" w:rsidRDefault="00232BB8" w:rsidP="006B44D3">
      <w:pPr>
        <w:autoSpaceDE w:val="0"/>
        <w:autoSpaceDN w:val="0"/>
        <w:adjustRightInd w:val="0"/>
        <w:spacing w:after="0"/>
        <w:ind w:firstLine="709"/>
        <w:jc w:val="both"/>
        <w:rPr>
          <w:lang w:val="uk-UA"/>
        </w:rPr>
      </w:pPr>
      <w:r w:rsidRPr="00805AC7">
        <w:rPr>
          <w:lang w:val="uk-UA"/>
        </w:rPr>
        <w:t xml:space="preserve">Однією з основних цілей навчання іноземній мові у вищій школі є </w:t>
      </w:r>
      <w:r w:rsidR="006826EA">
        <w:rPr>
          <w:lang w:val="uk-UA"/>
        </w:rPr>
        <w:t>вміння</w:t>
      </w:r>
      <w:r w:rsidRPr="00805AC7">
        <w:rPr>
          <w:lang w:val="uk-UA"/>
        </w:rPr>
        <w:t xml:space="preserve"> студента </w:t>
      </w:r>
      <w:r w:rsidR="00800365">
        <w:rPr>
          <w:lang w:val="uk-UA"/>
        </w:rPr>
        <w:t>самостійно працювати з фаховою літературою</w:t>
      </w:r>
      <w:r w:rsidR="00800365" w:rsidRPr="00800365">
        <w:rPr>
          <w:lang w:val="uk-UA"/>
        </w:rPr>
        <w:t xml:space="preserve">: </w:t>
      </w:r>
      <w:r w:rsidRPr="00805AC7">
        <w:rPr>
          <w:lang w:val="uk-UA"/>
        </w:rPr>
        <w:t>читати тексти зі спеціальності, щоб отримати повноцінну інформацію та вмі</w:t>
      </w:r>
      <w:r w:rsidR="00800365">
        <w:rPr>
          <w:lang w:val="uk-UA"/>
        </w:rPr>
        <w:t>ти</w:t>
      </w:r>
      <w:r w:rsidRPr="00805AC7">
        <w:rPr>
          <w:lang w:val="uk-UA"/>
        </w:rPr>
        <w:t xml:space="preserve"> обробити її (анотування, реферування та конспект). П</w:t>
      </w:r>
      <w:r w:rsidR="00800365">
        <w:rPr>
          <w:lang w:val="uk-UA"/>
        </w:rPr>
        <w:t>ісля закінчення</w:t>
      </w:r>
      <w:r w:rsidRPr="00805AC7">
        <w:rPr>
          <w:lang w:val="uk-UA"/>
        </w:rPr>
        <w:t xml:space="preserve"> курсу іноземної мови</w:t>
      </w:r>
      <w:r w:rsidR="00800365">
        <w:rPr>
          <w:lang w:val="uk-UA"/>
        </w:rPr>
        <w:t xml:space="preserve"> (за професійним спрямуванням)</w:t>
      </w:r>
      <w:r w:rsidRPr="00805AC7">
        <w:rPr>
          <w:lang w:val="uk-UA"/>
        </w:rPr>
        <w:t>, студент повинен володіти професійно-орієнтованими навичками та вміннями, всіма видами наукової обробки тексту для самостійної роботи</w:t>
      </w:r>
      <w:r w:rsidR="006826EA">
        <w:rPr>
          <w:lang w:val="uk-UA"/>
        </w:rPr>
        <w:t>.</w:t>
      </w:r>
    </w:p>
    <w:p w14:paraId="3DF33641" w14:textId="260FF0DB" w:rsidR="006826EA" w:rsidRDefault="006826EA" w:rsidP="006B44D3">
      <w:pPr>
        <w:autoSpaceDE w:val="0"/>
        <w:autoSpaceDN w:val="0"/>
        <w:adjustRightInd w:val="0"/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Спеціалісту треба вміти відділяти головне від другорядного, аналізувати та узагальнювати матеріал, і при цьому не витрачати зайвий час на дослівний переклад всього матеріалу. </w:t>
      </w:r>
      <w:r w:rsidRPr="00B22B96">
        <w:rPr>
          <w:lang w:val="uk-UA"/>
        </w:rPr>
        <w:t>Анотація й реферат стали важливими засобами, які ефективно забезпечують швидкий обмін новою науково-технічною інформацією, саме вони істотно скорочують час фахівців на обробку інформації.</w:t>
      </w:r>
      <w:r w:rsidRPr="004B4378">
        <w:rPr>
          <w:rFonts w:cs="Times New Roman"/>
          <w:szCs w:val="28"/>
          <w:lang w:val="uk-UA"/>
        </w:rPr>
        <w:t xml:space="preserve"> Реферат та анотація, разом з бібліографічним описом, конспектом, рецензією, синопсисом та перекладом належать до вторинних документальних джерел наукової інформації. Вторинний текст – це текст про текст, створений як результат сприйняття, аналізу та інтерпретації первинного (оригінального) тексту. Такі тексти використовуються для комплектування інформативних видань, типу реферативних журналів, наукових перекладів, довідкової літератури тощо.</w:t>
      </w:r>
    </w:p>
    <w:p w14:paraId="23F308BD" w14:textId="1F24CD5D" w:rsidR="000B3025" w:rsidRPr="00CA484D" w:rsidRDefault="000B3025" w:rsidP="006B44D3">
      <w:pPr>
        <w:autoSpaceDE w:val="0"/>
        <w:autoSpaceDN w:val="0"/>
        <w:adjustRightInd w:val="0"/>
        <w:spacing w:after="0"/>
        <w:ind w:firstLine="709"/>
        <w:jc w:val="both"/>
      </w:pPr>
      <w:r w:rsidRPr="00CA484D">
        <w:t>Дослідження</w:t>
      </w:r>
      <w:r w:rsidR="006826EA">
        <w:rPr>
          <w:lang w:val="uk-UA"/>
        </w:rPr>
        <w:t xml:space="preserve"> </w:t>
      </w:r>
      <w:r w:rsidRPr="00CA484D">
        <w:t>показали, що проблема формування навичок складання стислого тексту</w:t>
      </w:r>
      <w:r w:rsidR="00800365">
        <w:rPr>
          <w:lang w:val="uk-UA"/>
        </w:rPr>
        <w:t xml:space="preserve"> особливо актуальна</w:t>
      </w:r>
      <w:r w:rsidRPr="00CA484D">
        <w:t xml:space="preserve"> </w:t>
      </w:r>
      <w:r w:rsidR="00800365">
        <w:rPr>
          <w:lang w:val="uk-UA"/>
        </w:rPr>
        <w:t>у роботі</w:t>
      </w:r>
      <w:r w:rsidRPr="00CA484D">
        <w:t xml:space="preserve"> викладач</w:t>
      </w:r>
      <w:r w:rsidR="00800365">
        <w:rPr>
          <w:lang w:val="uk-UA"/>
        </w:rPr>
        <w:t>ів,</w:t>
      </w:r>
      <w:r w:rsidRPr="00CA484D">
        <w:t xml:space="preserve"> які працюють зі студентами немовних </w:t>
      </w:r>
      <w:r w:rsidR="00800365">
        <w:rPr>
          <w:lang w:val="uk-UA"/>
        </w:rPr>
        <w:t>факультетів</w:t>
      </w:r>
      <w:r w:rsidRPr="00CA484D">
        <w:t xml:space="preserve">. Вилучення із тексту основної інформації, її узагальнення і оформлення в максимально стислому вигляді є нелегким завданням для студентів </w:t>
      </w:r>
      <w:r w:rsidR="006826EA">
        <w:rPr>
          <w:lang w:val="uk-UA"/>
        </w:rPr>
        <w:t>технічних та пр</w:t>
      </w:r>
      <w:r w:rsidR="00800365">
        <w:rPr>
          <w:lang w:val="uk-UA"/>
        </w:rPr>
        <w:t>и</w:t>
      </w:r>
      <w:r w:rsidR="006826EA">
        <w:rPr>
          <w:lang w:val="uk-UA"/>
        </w:rPr>
        <w:t>родничих</w:t>
      </w:r>
      <w:r w:rsidRPr="00CA484D">
        <w:t xml:space="preserve"> спеціальностей. Як правило, уміння викладати зміст прочитаного зводиться</w:t>
      </w:r>
      <w:r w:rsidRPr="00B22B96">
        <w:t xml:space="preserve"> </w:t>
      </w:r>
      <w:r w:rsidRPr="00CA484D">
        <w:t>простого переказу. Очевидно, що анотуванню студентів необхідно спеціально навчати [7].</w:t>
      </w:r>
    </w:p>
    <w:p w14:paraId="1049AC1D" w14:textId="54A59EF1" w:rsidR="000B3025" w:rsidRDefault="006826EA" w:rsidP="006B44D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B3025" w:rsidRPr="00232BB8">
        <w:rPr>
          <w:sz w:val="28"/>
          <w:szCs w:val="28"/>
        </w:rPr>
        <w:t>авчання написання вторинних текстів в курсі іноземної мови є питанням ще відносно не дослідженим, ще не існує навіть загальної термінологічної бази, іноді немає прямих відповідностей в перекладі.</w:t>
      </w:r>
    </w:p>
    <w:p w14:paraId="70CF6840" w14:textId="1E4A14C7" w:rsidR="006826EA" w:rsidRPr="006826EA" w:rsidRDefault="006826EA" w:rsidP="006B44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 xml:space="preserve">І реферат, і анотація здійснюють компресію першоджерел, але відбувається це різними засобами. Анотація перераховує питання першоджерела, і не висвітлює зміст. Реферат не тільки перераховує всі питання, але й розкриває основний зміст цих питань. Тобто, анотація просто повідомляє, про що написано в першоджерелі, а реферат ще й розкриває зміст. При анотуванні, враховується не тільки зміст першоджерела, але й його призначення, цінність, направленість, і анотація дозволяє робити висновки про доцільність докладнішого вивчення оригінального тексту. За обсягом реферат завжди докладніше анотації, його розміри будуть залежати від розміру першоджерела i </w:t>
      </w:r>
      <w:r w:rsidRPr="004B4378">
        <w:rPr>
          <w:rFonts w:cs="Times New Roman"/>
          <w:szCs w:val="28"/>
          <w:lang w:val="uk-UA"/>
        </w:rPr>
        <w:lastRenderedPageBreak/>
        <w:t>цілей реферату (реферат-конспект, резюме, оглядовий реферат). Обсяг реферату може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складати від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10-15%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до 30% від обсягу першоджерела, в той час, як анотація може складатись з 3-4 речень, обсяг анотації коливається від 500-2000 друкованих знаків</w:t>
      </w:r>
      <w:r>
        <w:rPr>
          <w:rFonts w:cs="Times New Roman"/>
          <w:szCs w:val="28"/>
          <w:lang w:val="uk-UA"/>
        </w:rPr>
        <w:t>,</w:t>
      </w:r>
      <w:r w:rsidRPr="004B4378">
        <w:rPr>
          <w:rFonts w:cs="Times New Roman"/>
          <w:szCs w:val="28"/>
          <w:lang w:val="uk-UA"/>
        </w:rPr>
        <w:t xml:space="preserve"> що вимагає значно вищу ступінь узагальнення. </w:t>
      </w:r>
    </w:p>
    <w:p w14:paraId="30D89030" w14:textId="0E6D818B" w:rsidR="006826EA" w:rsidRPr="00444D85" w:rsidRDefault="006826EA" w:rsidP="006B44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>Процес реферування та анотування вважається рецептивно-репродуктивною мовленнєвою діяльністю. На першому етапі відбувається декодування іншомовного тексту, а на другому етапі – переробка змістової інформації та складання вторинного тексту. У ході роботи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текстом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завжди виконуються два завдання</w:t>
      </w:r>
      <w:r>
        <w:rPr>
          <w:rFonts w:cs="Times New Roman"/>
          <w:szCs w:val="28"/>
          <w:lang w:val="uk-UA"/>
        </w:rPr>
        <w:t xml:space="preserve"> –</w:t>
      </w:r>
      <w:r w:rsidRPr="004B4378">
        <w:rPr>
          <w:rFonts w:cs="Times New Roman"/>
          <w:szCs w:val="28"/>
          <w:lang w:val="uk-UA"/>
        </w:rPr>
        <w:t xml:space="preserve"> виділення основного й головного, та коротке формулювання цього головного. </w:t>
      </w:r>
      <w:r w:rsidRPr="000D2266">
        <w:rPr>
          <w:rFonts w:cs="Times New Roman"/>
          <w:szCs w:val="28"/>
          <w:lang w:val="uk-UA"/>
        </w:rPr>
        <w:t>Таким чином, скорочення матеріалу першоджерела йде двома шляхами: у напрямку відсівання другорядного і несуттєвого, та у напрямку перефразовування головної думки в коротку лінгвістичну форму.</w:t>
      </w:r>
      <w:r w:rsidRPr="004B4378">
        <w:rPr>
          <w:rFonts w:cs="Times New Roman"/>
          <w:szCs w:val="28"/>
          <w:lang w:val="uk-UA"/>
        </w:rPr>
        <w:t xml:space="preserve"> Сама схема не вкладається тільки в дві основні дії, вона набуває деталізованої та розгалуженої структури</w:t>
      </w:r>
      <w:r w:rsidR="00444D85">
        <w:rPr>
          <w:rFonts w:cs="Times New Roman"/>
          <w:szCs w:val="28"/>
          <w:lang w:val="uk-UA"/>
        </w:rPr>
        <w:t xml:space="preserve"> </w:t>
      </w:r>
      <w:r w:rsidR="00444D85" w:rsidRPr="00444D85">
        <w:rPr>
          <w:rFonts w:cs="Times New Roman"/>
          <w:szCs w:val="28"/>
        </w:rPr>
        <w:t xml:space="preserve">[ </w:t>
      </w:r>
      <w:r w:rsidR="00444D85">
        <w:rPr>
          <w:rFonts w:cs="Times New Roman"/>
          <w:szCs w:val="28"/>
          <w:lang w:val="uk-UA"/>
        </w:rPr>
        <w:t>9,11</w:t>
      </w:r>
      <w:r w:rsidR="00444D85" w:rsidRPr="00444D85">
        <w:rPr>
          <w:rFonts w:cs="Times New Roman"/>
          <w:szCs w:val="28"/>
        </w:rPr>
        <w:t>].</w:t>
      </w:r>
    </w:p>
    <w:p w14:paraId="7F204C23" w14:textId="0CB0CD4C" w:rsidR="006826EA" w:rsidRDefault="006826EA" w:rsidP="006B44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>Лінгвістичні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трансформації під час написання реферату можуть відбуватись у таких напрямках: 1) компресія – передача тексту в коротшому вигляді; 2) компенсація i перефразування; 3) узагальнення – відбір основної інформації при одночасному усуненні надлишкової та зайвої</w:t>
      </w:r>
      <w:r w:rsidR="00444D85" w:rsidRPr="00444D85">
        <w:rPr>
          <w:rFonts w:cs="Times New Roman"/>
          <w:szCs w:val="28"/>
          <w:lang w:val="uk-UA"/>
        </w:rPr>
        <w:t xml:space="preserve"> [</w:t>
      </w:r>
      <w:r w:rsidR="00444D85">
        <w:rPr>
          <w:rFonts w:cs="Times New Roman"/>
          <w:szCs w:val="28"/>
          <w:lang w:val="uk-UA"/>
        </w:rPr>
        <w:t>1, 3, 6. 10</w:t>
      </w:r>
      <w:r w:rsidR="00444D85" w:rsidRPr="00444D85">
        <w:rPr>
          <w:rFonts w:cs="Times New Roman"/>
          <w:szCs w:val="28"/>
          <w:lang w:val="uk-UA"/>
        </w:rPr>
        <w:t>].</w:t>
      </w:r>
      <w:r>
        <w:rPr>
          <w:rFonts w:cs="Times New Roman"/>
          <w:szCs w:val="28"/>
          <w:lang w:val="uk-UA"/>
        </w:rPr>
        <w:t xml:space="preserve"> </w:t>
      </w:r>
    </w:p>
    <w:p w14:paraId="586C4140" w14:textId="4A589AF2" w:rsidR="00800365" w:rsidRPr="004B4378" w:rsidRDefault="00800365" w:rsidP="006B44D3">
      <w:pPr>
        <w:shd w:val="clear" w:color="auto" w:fill="FFFFFF"/>
        <w:spacing w:after="0"/>
        <w:ind w:firstLine="709"/>
        <w:jc w:val="both"/>
        <w:rPr>
          <w:rFonts w:cs="Times New Roman"/>
          <w:szCs w:val="28"/>
          <w:lang w:val="uk-UA"/>
        </w:rPr>
      </w:pPr>
      <w:r w:rsidRPr="000D2266">
        <w:rPr>
          <w:rFonts w:cs="Times New Roman"/>
          <w:szCs w:val="28"/>
          <w:lang w:val="uk-UA"/>
        </w:rPr>
        <w:t>Реферування та анотування є підсумковою демонстрацією володіння лінгвістичними навичками (письмом, граматичним та лексичним матеріалом), і володіє контролюючим та навчаючим потенціалом. Написання вторинних документів дає змогу оцінити рівень розуміння тексту, вміння опрацювати та відтворити прочитаний текст, виділяючи основний зміст з використанням ключових слів. Навіть в умовах дистанційного навчання студенти можуть успішно розвивати свої навички роботи з фаховою літературою та написання вторинних текстів.</w:t>
      </w:r>
    </w:p>
    <w:p w14:paraId="60C2717E" w14:textId="77777777" w:rsidR="00800365" w:rsidRPr="004B4378" w:rsidRDefault="00800365" w:rsidP="006B44D3">
      <w:pPr>
        <w:pStyle w:val="Default"/>
        <w:ind w:firstLine="709"/>
        <w:jc w:val="both"/>
        <w:rPr>
          <w:sz w:val="28"/>
          <w:szCs w:val="28"/>
        </w:rPr>
      </w:pPr>
      <w:r w:rsidRPr="004B4378">
        <w:rPr>
          <w:rFonts w:eastAsia="Arial-BoldMT"/>
          <w:bCs/>
          <w:sz w:val="28"/>
          <w:szCs w:val="28"/>
        </w:rPr>
        <w:t>Навчання студентів навичкам і умінням анотувати та реферувати іншомовний текст, як основне джерело професійної фахової інформації, є однією з найефективніших форм практичного володіння іноземною мовою.</w:t>
      </w:r>
    </w:p>
    <w:p w14:paraId="5062F490" w14:textId="77777777" w:rsidR="006826EA" w:rsidRPr="000864AA" w:rsidRDefault="006826EA" w:rsidP="006B44D3">
      <w:pPr>
        <w:pStyle w:val="Default"/>
        <w:ind w:firstLine="709"/>
        <w:jc w:val="both"/>
        <w:rPr>
          <w:sz w:val="28"/>
          <w:szCs w:val="28"/>
        </w:rPr>
      </w:pPr>
    </w:p>
    <w:p w14:paraId="76F56245" w14:textId="2D97289B" w:rsidR="00232BB8" w:rsidRPr="004B4378" w:rsidRDefault="00232BB8" w:rsidP="006B44D3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4B4378">
        <w:rPr>
          <w:rFonts w:cs="Times New Roman"/>
          <w:b/>
          <w:bCs/>
          <w:szCs w:val="28"/>
          <w:lang w:val="uk-UA"/>
        </w:rPr>
        <w:t xml:space="preserve">Список </w:t>
      </w:r>
      <w:r w:rsidR="00C016FD">
        <w:rPr>
          <w:rFonts w:cs="Times New Roman"/>
          <w:b/>
          <w:bCs/>
          <w:szCs w:val="28"/>
          <w:lang w:val="uk-UA"/>
        </w:rPr>
        <w:t>джерел</w:t>
      </w:r>
    </w:p>
    <w:p w14:paraId="3EC7F265" w14:textId="77777777" w:rsidR="00232BB8" w:rsidRPr="004B4378" w:rsidRDefault="00232BB8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 xml:space="preserve">Байдак Л. І. Анотування та реферування як ефективні прийоми роботи з іншомовною фаховою літературою [Електронний ресурс] / Л. І. Байдак // </w:t>
      </w:r>
      <w:r w:rsidRPr="004B4378">
        <w:rPr>
          <w:rFonts w:cs="Times New Roman"/>
          <w:szCs w:val="28"/>
        </w:rPr>
        <w:t>Strategiczne</w:t>
      </w:r>
      <w:r w:rsidRPr="004B4378"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</w:rPr>
        <w:t>pytania</w:t>
      </w:r>
      <w:r w:rsidRPr="004B4378">
        <w:rPr>
          <w:rFonts w:cs="Times New Roman"/>
          <w:szCs w:val="28"/>
          <w:lang w:val="uk-UA"/>
        </w:rPr>
        <w:t xml:space="preserve"> ś</w:t>
      </w:r>
      <w:r w:rsidRPr="004B4378">
        <w:rPr>
          <w:rFonts w:cs="Times New Roman"/>
          <w:szCs w:val="28"/>
        </w:rPr>
        <w:t>wiatowej</w:t>
      </w:r>
      <w:r w:rsidRPr="004B4378"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</w:rPr>
        <w:t>nauki</w:t>
      </w:r>
      <w:r w:rsidRPr="004B4378">
        <w:rPr>
          <w:rFonts w:cs="Times New Roman"/>
          <w:szCs w:val="28"/>
          <w:lang w:val="uk-UA"/>
        </w:rPr>
        <w:t>.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</w:rPr>
        <w:t>Volume</w:t>
      </w:r>
      <w:r w:rsidRPr="004B4378">
        <w:rPr>
          <w:rFonts w:cs="Times New Roman"/>
          <w:szCs w:val="28"/>
          <w:lang w:val="uk-UA"/>
        </w:rPr>
        <w:t xml:space="preserve"> 13. </w:t>
      </w:r>
      <w:r w:rsidRPr="004B4378">
        <w:rPr>
          <w:rFonts w:cs="Times New Roman"/>
          <w:szCs w:val="28"/>
        </w:rPr>
        <w:t>Filologiczne</w:t>
      </w:r>
      <w:r w:rsidRPr="004B4378"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</w:rPr>
        <w:t>nauki</w:t>
      </w:r>
      <w:r w:rsidRPr="004B4378">
        <w:rPr>
          <w:rFonts w:cs="Times New Roman"/>
          <w:szCs w:val="28"/>
          <w:lang w:val="uk-UA"/>
        </w:rPr>
        <w:t xml:space="preserve">. </w:t>
      </w:r>
      <w:r w:rsidRPr="004B4378">
        <w:rPr>
          <w:rFonts w:cs="Times New Roman"/>
          <w:szCs w:val="28"/>
        </w:rPr>
        <w:t>Przemỳl</w:t>
      </w:r>
      <w:r w:rsidRPr="004B4378">
        <w:rPr>
          <w:rFonts w:cs="Times New Roman"/>
          <w:szCs w:val="28"/>
          <w:lang w:val="uk-UA"/>
        </w:rPr>
        <w:t xml:space="preserve"> : </w:t>
      </w:r>
      <w:r w:rsidRPr="004B4378">
        <w:rPr>
          <w:rFonts w:cs="Times New Roman"/>
          <w:szCs w:val="28"/>
        </w:rPr>
        <w:t>Nauka</w:t>
      </w:r>
      <w:r w:rsidRPr="004B4378"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</w:rPr>
        <w:t>i</w:t>
      </w:r>
      <w:r w:rsidRPr="004B4378"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</w:rPr>
        <w:t>studia</w:t>
      </w:r>
      <w:r w:rsidRPr="004B4378">
        <w:rPr>
          <w:rFonts w:cs="Times New Roman"/>
          <w:szCs w:val="28"/>
          <w:lang w:val="uk-UA"/>
        </w:rPr>
        <w:t>, 2015.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С. 3-5</w:t>
      </w:r>
    </w:p>
    <w:p w14:paraId="17AAD3F3" w14:textId="77777777" w:rsidR="00232BB8" w:rsidRPr="004B4378" w:rsidRDefault="00232BB8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>Безлюдний О. І. Особливості формування умінь і навичок роботи з іншомовним текстом зі спеціальності / О. І. Безлюдний // Проблеми інженерно-педагогічної освіти.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2014. № 42/43. С. 265–270.</w:t>
      </w:r>
    </w:p>
    <w:p w14:paraId="0F91E127" w14:textId="77777777" w:rsidR="00232BB8" w:rsidRPr="004B4378" w:rsidRDefault="00232BB8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>Вейзе, А. А. Практическое пособие по обучению реферативному переводу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/ А. А. Вейзе, А. В. Конышева.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Минск : МГЛУ, 2007.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197 с.</w:t>
      </w:r>
    </w:p>
    <w:p w14:paraId="6A7760C5" w14:textId="77777777" w:rsidR="00232BB8" w:rsidRPr="004B4378" w:rsidRDefault="00232BB8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>Вороніна К.В. Основи перекладацького анотування та реферування текстів різних типів і жанрів: навчальний посібник / К.В. Вороніна.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 xml:space="preserve">Х.: ХНУ імені В.Н. Каразіна, 2013. 120 с. </w:t>
      </w:r>
    </w:p>
    <w:p w14:paraId="00C849F9" w14:textId="77777777" w:rsidR="00232BB8" w:rsidRPr="004B4378" w:rsidRDefault="00232BB8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 xml:space="preserve">Карпова, И. В. Коммуникативно-когнитивный подход к обучению реферированию студентов на продвинутом уровне в неязыковом вузе </w:t>
      </w:r>
      <w:r w:rsidRPr="004B4378">
        <w:rPr>
          <w:rFonts w:cs="Times New Roman"/>
          <w:szCs w:val="28"/>
          <w:lang w:val="uk-UA"/>
        </w:rPr>
        <w:lastRenderedPageBreak/>
        <w:t>(Экономический профиль, немецкий язык): дис. ... канд. пед. наук : 13.00.02. : защищена 25.04.2005 : утв. 22.06.2005 / Карпова Ирина Владимировна. М., 2005.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151 с.</w:t>
      </w:r>
    </w:p>
    <w:p w14:paraId="1ECA9838" w14:textId="77777777" w:rsidR="00232BB8" w:rsidRPr="004B4378" w:rsidRDefault="00232BB8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>Корж Т.М. Навчання студентів вищих технічних навчальних закладів анотування англійських професійно орієнтованих текстів: автореф. дис. на здобуття наук. ступеня канд. пед. наук: спец. 13.00.02 "теорія та методика навчання: германські мови". Київ, 2008.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26 с.</w:t>
      </w:r>
    </w:p>
    <w:p w14:paraId="5D3E701D" w14:textId="77777777" w:rsidR="00232BB8" w:rsidRPr="004B4378" w:rsidRDefault="00232BB8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</w:rPr>
        <w:t>Лутовинова В.І. Реферування як процес мікроаналітичного згортання інформації: практ. посіб. / В.І.Лутовинова; наук. Ред. Г.М.Швецова-Водка; АПН України, ДНПБ України ім. В.О.Сухомлинського.</w:t>
      </w:r>
      <w:r>
        <w:rPr>
          <w:rFonts w:cs="Times New Roman"/>
          <w:szCs w:val="28"/>
        </w:rPr>
        <w:t xml:space="preserve"> </w:t>
      </w:r>
      <w:r w:rsidRPr="004B4378">
        <w:rPr>
          <w:rFonts w:cs="Times New Roman"/>
          <w:szCs w:val="28"/>
        </w:rPr>
        <w:t xml:space="preserve">К., 2007. </w:t>
      </w:r>
      <w:r w:rsidRPr="004B4378">
        <w:rPr>
          <w:rFonts w:cs="Times New Roman"/>
          <w:szCs w:val="28"/>
          <w:lang w:val="en-US"/>
        </w:rPr>
        <w:t>73 c.</w:t>
      </w:r>
    </w:p>
    <w:p w14:paraId="3F5FF0B9" w14:textId="77777777" w:rsidR="00232BB8" w:rsidRDefault="00232BB8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>Про затвердження Положення про порядок реалізації права на академічну мобільність : Постанова Кабінету Міністрів У</w:t>
      </w:r>
      <w:r>
        <w:rPr>
          <w:rFonts w:cs="Times New Roman"/>
          <w:szCs w:val="28"/>
          <w:lang w:val="uk-UA"/>
        </w:rPr>
        <w:t>країни № 579 від 12 серпня 2015 </w:t>
      </w:r>
      <w:r w:rsidRPr="004B4378">
        <w:rPr>
          <w:rFonts w:cs="Times New Roman"/>
          <w:szCs w:val="28"/>
          <w:lang w:val="uk-UA"/>
        </w:rPr>
        <w:t>р. [Електронний ресурс]. Режим доступу:</w:t>
      </w:r>
    </w:p>
    <w:p w14:paraId="5EA2C5D1" w14:textId="77777777" w:rsidR="00232BB8" w:rsidRPr="004B4378" w:rsidRDefault="00232BB8" w:rsidP="006B44D3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>http://www.kmu.gov.ua/control/ru/cardnpd?docid =248409199.</w:t>
      </w:r>
    </w:p>
    <w:p w14:paraId="258BD040" w14:textId="77777777" w:rsidR="00232BB8" w:rsidRPr="004B4378" w:rsidRDefault="00232BB8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>Рябова Н. Н. Навчання реферуванню та анотуванню іншомовних текстів студентів немовних вузів / Н. Н. Рябова // Культура народов Причерноморья: научный журнал / гл. ред. Ю. А. Катунин.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Симферополь : Изд-во Крымского научного центра Национальной академии наук и Министерства образования и науки Украины ; Таврический национальный университет им. В. И. Вернадского ; Межвузовский центр “Крым”, 2002. Т. 37.</w:t>
      </w: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>С. 373–375.</w:t>
      </w:r>
    </w:p>
    <w:p w14:paraId="7FC0DB3F" w14:textId="77777777" w:rsidR="00232BB8" w:rsidRPr="004B4378" w:rsidRDefault="00232BB8" w:rsidP="006B44D3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4378">
        <w:rPr>
          <w:sz w:val="28"/>
          <w:szCs w:val="28"/>
        </w:rPr>
        <w:t>Серебрянська, І. М. Реферування як засіб підвищення інтенсивності навчання іноземної мови у вищих навчальних закладах</w:t>
      </w:r>
      <w:r>
        <w:rPr>
          <w:sz w:val="28"/>
          <w:szCs w:val="28"/>
        </w:rPr>
        <w:t xml:space="preserve"> </w:t>
      </w:r>
      <w:r w:rsidRPr="004B4378">
        <w:rPr>
          <w:sz w:val="28"/>
          <w:szCs w:val="28"/>
        </w:rPr>
        <w:t>/ І. М. Серебрянська // Вісник СумДУ. 2006. № 3.</w:t>
      </w:r>
      <w:r>
        <w:rPr>
          <w:sz w:val="28"/>
          <w:szCs w:val="28"/>
        </w:rPr>
        <w:t xml:space="preserve"> </w:t>
      </w:r>
      <w:r w:rsidRPr="004B4378">
        <w:rPr>
          <w:sz w:val="28"/>
          <w:szCs w:val="28"/>
        </w:rPr>
        <w:t xml:space="preserve">С. 86–90. </w:t>
      </w:r>
    </w:p>
    <w:p w14:paraId="1639E287" w14:textId="42799E28" w:rsidR="00232BB8" w:rsidRPr="00444D85" w:rsidRDefault="00232BB8" w:rsidP="006B44D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 xml:space="preserve">Тимошенко О. В. Особливості написання анотації англійською мовою [Електронний ресурс] / О. В. Тимошенко. Режим доступу: </w:t>
      </w:r>
      <w:hyperlink r:id="rId5" w:history="1">
        <w:r w:rsidRPr="00C12D7F">
          <w:rPr>
            <w:rStyle w:val="a4"/>
            <w:rFonts w:cs="Times New Roman"/>
            <w:color w:val="auto"/>
            <w:szCs w:val="28"/>
            <w:u w:val="none"/>
            <w:lang w:val="uk-UA"/>
          </w:rPr>
          <w:t>http://www.confesp.fl.kpi.ua/node/1150</w:t>
        </w:r>
      </w:hyperlink>
      <w:r w:rsidRPr="00444D85">
        <w:rPr>
          <w:szCs w:val="28"/>
        </w:rPr>
        <w:t xml:space="preserve"> </w:t>
      </w:r>
    </w:p>
    <w:p w14:paraId="45B40406" w14:textId="77777777" w:rsidR="00232BB8" w:rsidRPr="00C12D7F" w:rsidRDefault="00232BB8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 w:rsidRPr="004B4378">
        <w:rPr>
          <w:rFonts w:cs="Times New Roman"/>
          <w:szCs w:val="28"/>
          <w:lang w:val="uk-UA"/>
        </w:rPr>
        <w:t xml:space="preserve">Шкурко Е. В. Обучение аннотированию текстов на иностранном языке </w:t>
      </w:r>
      <w:r w:rsidRPr="004B4378">
        <w:rPr>
          <w:rFonts w:cs="Times New Roman"/>
          <w:color w:val="000000" w:themeColor="text1"/>
          <w:szCs w:val="28"/>
          <w:lang w:val="uk-UA"/>
        </w:rPr>
        <w:t>[Электронный ресурс]</w:t>
      </w:r>
      <w:r w:rsidRPr="004B4378">
        <w:rPr>
          <w:rFonts w:cs="Times New Roman"/>
          <w:szCs w:val="28"/>
          <w:lang w:val="uk-UA"/>
        </w:rPr>
        <w:t xml:space="preserve">/ Е. В. Шкурко ; Днепропетровский нац. ун-т им. Олеся Гончара. </w:t>
      </w:r>
      <w:r w:rsidRPr="004B4378">
        <w:rPr>
          <w:rFonts w:cs="Times New Roman"/>
          <w:color w:val="000000" w:themeColor="text1"/>
          <w:szCs w:val="28"/>
          <w:lang w:val="uk-UA"/>
        </w:rPr>
        <w:t>Режим доступа:</w:t>
      </w:r>
    </w:p>
    <w:p w14:paraId="260B2FC0" w14:textId="77777777" w:rsidR="00232BB8" w:rsidRPr="004B4378" w:rsidRDefault="00232BB8" w:rsidP="006B44D3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>http://lingvodnu.com.ua/arxiv-nomeriv/lingvistika-lingvokulturologiya-2011/obuchenie-annotirovaniyu-tekstov-na-inostrannom-yazyke/</w:t>
      </w:r>
    </w:p>
    <w:p w14:paraId="16339CDD" w14:textId="77777777" w:rsidR="00232BB8" w:rsidRPr="00C12D7F" w:rsidRDefault="00232BB8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en-US"/>
        </w:rPr>
        <w:t xml:space="preserve">Diane Engelhardt. Advanced English Reading and Comprehension. McGraw Hill Education. 2013. 255c. </w:t>
      </w:r>
      <w:r w:rsidRPr="004B4378">
        <w:rPr>
          <w:rFonts w:cs="Times New Roman"/>
          <w:szCs w:val="28"/>
          <w:lang w:val="uk-UA"/>
        </w:rPr>
        <w:t>Режим доступу</w:t>
      </w:r>
      <w:r>
        <w:rPr>
          <w:rFonts w:cs="Times New Roman"/>
          <w:szCs w:val="28"/>
          <w:lang w:val="en-US"/>
        </w:rPr>
        <w:t>:</w:t>
      </w:r>
    </w:p>
    <w:p w14:paraId="21DDB9F0" w14:textId="0E4160B2" w:rsidR="000B3025" w:rsidRDefault="00232BB8" w:rsidP="006B44D3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>http://www.e4thai.com/e4e/images/pdf2/PracticeMakesPerfectAdvancedEnglishReadingandComprehension.pdf</w:t>
      </w:r>
      <w:r w:rsidRPr="00B362D2">
        <w:rPr>
          <w:szCs w:val="28"/>
          <w:lang w:val="uk-UA"/>
        </w:rPr>
        <w:t xml:space="preserve"> </w:t>
      </w:r>
    </w:p>
    <w:p w14:paraId="1C7B2D3A" w14:textId="77777777" w:rsidR="00C11F42" w:rsidRPr="004B4378" w:rsidRDefault="00C11F42" w:rsidP="006B44D3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4378">
        <w:rPr>
          <w:sz w:val="28"/>
          <w:szCs w:val="28"/>
        </w:rPr>
        <w:t>Kelly S. Creative instructional tactics and strategies in teaching summary writing to grade seven students / S. Kelly // Pedagogy in a New Tonality: Teacher Inquiries on Creative Tactics, Strategies, Graphics Organizers, and Visual Journals in the K-12 Classroom / ed. P. Gouzouasis. – Rotterdam: Sense Publishers, 2011. С. 103–120.</w:t>
      </w:r>
    </w:p>
    <w:p w14:paraId="7D27363F" w14:textId="7706F4B7" w:rsidR="00C11F42" w:rsidRPr="0047190B" w:rsidRDefault="00C11F42" w:rsidP="006B44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  <w:lang w:val="uk-UA"/>
        </w:rPr>
      </w:pPr>
      <w:r w:rsidRPr="004B4378">
        <w:rPr>
          <w:rFonts w:cs="Times New Roman"/>
          <w:szCs w:val="28"/>
          <w:lang w:val="uk-UA"/>
        </w:rPr>
        <w:t xml:space="preserve"> Swales J. M. Academic writing for graduate students: Essential tasks and skills / J. M. Swales, C. B. Feak. – Ann Arbor, Mich : University of Michigan, 2004. 132 с.</w:t>
      </w:r>
    </w:p>
    <w:sectPr w:rsidR="00C11F42" w:rsidRPr="0047190B" w:rsidSect="006B44D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E041D"/>
    <w:multiLevelType w:val="hybridMultilevel"/>
    <w:tmpl w:val="25989158"/>
    <w:lvl w:ilvl="0" w:tplc="E0F01588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num w:numId="1" w16cid:durableId="194677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EB"/>
    <w:rsid w:val="000B3025"/>
    <w:rsid w:val="00232BB8"/>
    <w:rsid w:val="00272ED8"/>
    <w:rsid w:val="00301238"/>
    <w:rsid w:val="00444D85"/>
    <w:rsid w:val="0047190B"/>
    <w:rsid w:val="004756DC"/>
    <w:rsid w:val="006826EA"/>
    <w:rsid w:val="006B44D3"/>
    <w:rsid w:val="006C0B77"/>
    <w:rsid w:val="00757B19"/>
    <w:rsid w:val="00800365"/>
    <w:rsid w:val="008242FF"/>
    <w:rsid w:val="00870751"/>
    <w:rsid w:val="00922C48"/>
    <w:rsid w:val="009E17AF"/>
    <w:rsid w:val="00AE4D7A"/>
    <w:rsid w:val="00B362D2"/>
    <w:rsid w:val="00B915B7"/>
    <w:rsid w:val="00C016FD"/>
    <w:rsid w:val="00C11F42"/>
    <w:rsid w:val="00CA7729"/>
    <w:rsid w:val="00CF2EDE"/>
    <w:rsid w:val="00DA06EB"/>
    <w:rsid w:val="00EA59DF"/>
    <w:rsid w:val="00EE4070"/>
    <w:rsid w:val="00F11D83"/>
    <w:rsid w:val="00F12C76"/>
    <w:rsid w:val="00F8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633D"/>
  <w15:chartTrackingRefBased/>
  <w15:docId w15:val="{726ED418-9BBE-4CD7-806D-660578AF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30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uk-UA" w:eastAsia="uk-UA"/>
      <w14:ligatures w14:val="none"/>
    </w:rPr>
  </w:style>
  <w:style w:type="paragraph" w:styleId="a3">
    <w:name w:val="List Paragraph"/>
    <w:basedOn w:val="a"/>
    <w:uiPriority w:val="34"/>
    <w:qFormat/>
    <w:rsid w:val="00232B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2B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fesp.fl.kpi.ua/node/11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2023-03-15T08:41:00Z</dcterms:created>
  <dcterms:modified xsi:type="dcterms:W3CDTF">2023-03-15T11:27:00Z</dcterms:modified>
</cp:coreProperties>
</file>