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right"/>
        <w:rPr/>
      </w:pPr>
      <w:r>
        <w:rPr>
          <w:rFonts w:ascii="Times New Roman" w:hAnsi="Times New Roman"/>
          <w:b/>
          <w:i/>
          <w:sz w:val="28"/>
        </w:rPr>
        <w:t xml:space="preserve">Гайсонюк </w:t>
      </w:r>
      <w:r>
        <w:rPr>
          <w:rFonts w:ascii="Times New Roman" w:hAnsi="Times New Roman"/>
          <w:b/>
          <w:i/>
          <w:sz w:val="28"/>
          <w:lang w:val="uk-UA"/>
        </w:rPr>
        <w:t>Натал</w:t>
      </w:r>
      <w:r>
        <w:rPr>
          <w:rFonts w:ascii="Times New Roman" w:hAnsi="Times New Roman"/>
          <w:b/>
          <w:i/>
          <w:sz w:val="28"/>
          <w:lang w:val="uk-UA"/>
        </w:rPr>
        <w:t>і</w:t>
      </w:r>
      <w:r>
        <w:rPr>
          <w:rFonts w:ascii="Times New Roman" w:hAnsi="Times New Roman"/>
          <w:b/>
          <w:i/>
          <w:sz w:val="28"/>
          <w:lang w:val="uk-UA"/>
        </w:rPr>
        <w:t>я</w:t>
      </w:r>
      <w:r>
        <w:rPr>
          <w:rFonts w:ascii="Times New Roman" w:hAnsi="Times New Roman"/>
          <w:b w:val="false"/>
          <w:i w:val="false"/>
          <w:sz w:val="28"/>
        </w:rPr>
        <w:t xml:space="preserve">, кандидат психологічних наук, </w:t>
        <w:br/>
        <w:t xml:space="preserve">асистент кафедри психології </w:t>
      </w:r>
      <w:r>
        <w:rPr>
          <w:rFonts w:ascii="Times New Roman" w:hAnsi="Times New Roman"/>
          <w:b w:val="false"/>
          <w:i w:val="false"/>
          <w:sz w:val="28"/>
        </w:rPr>
        <w:t>(</w:t>
      </w:r>
      <w:r>
        <w:rPr>
          <w:rFonts w:ascii="Times New Roman" w:hAnsi="Times New Roman"/>
          <w:b w:val="false"/>
          <w:i/>
          <w:iCs/>
          <w:sz w:val="28"/>
          <w:lang w:val="uk-UA"/>
        </w:rPr>
        <w:t>Ч</w:t>
      </w:r>
      <w:r>
        <w:rPr>
          <w:rFonts w:ascii="Times New Roman" w:hAnsi="Times New Roman"/>
          <w:b w:val="false"/>
          <w:i/>
          <w:iCs/>
          <w:sz w:val="28"/>
          <w:lang w:val="uk-UA"/>
        </w:rPr>
        <w:t>НУ</w:t>
      </w:r>
      <w:r>
        <w:rPr>
          <w:rFonts w:ascii="Times New Roman" w:hAnsi="Times New Roman"/>
          <w:b w:val="false"/>
          <w:i/>
          <w:iCs/>
          <w:sz w:val="28"/>
        </w:rPr>
        <w:t xml:space="preserve"> імені Юрія Федьковича</w:t>
      </w:r>
      <w:r>
        <w:rPr>
          <w:rFonts w:ascii="Times New Roman" w:hAnsi="Times New Roman"/>
          <w:b w:val="false"/>
          <w:i w:val="false"/>
          <w:sz w:val="28"/>
        </w:rPr>
        <w:t>)</w:t>
      </w:r>
      <w:r>
        <w:rPr>
          <w:rFonts w:ascii="Times New Roman" w:hAnsi="Times New Roman"/>
          <w:b w:val="false"/>
          <w:i w:val="false"/>
          <w:sz w:val="28"/>
        </w:rPr>
        <w:t xml:space="preserve"> </w:t>
        <w:br/>
      </w:r>
      <w:r>
        <w:rPr>
          <w:rFonts w:ascii="Times New Roman" w:hAnsi="Times New Roman"/>
          <w:b/>
          <w:i/>
          <w:strike w:val="false"/>
          <w:dstrike w:val="false"/>
          <w:sz w:val="28"/>
          <w:u w:val="none"/>
        </w:rPr>
        <w:t>Зелінська Вікторія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u w:val="none"/>
        </w:rPr>
        <w:t xml:space="preserve">,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u w:val="none"/>
          <w:lang w:val="uk-UA"/>
        </w:rPr>
        <w:t>магістрантка кафедри психології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u w:val="none"/>
        </w:rPr>
        <w:t xml:space="preserve"> </w:t>
        <w:br/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u w:val="none"/>
        </w:rPr>
        <w:t>(</w:t>
      </w:r>
      <w:r>
        <w:rPr>
          <w:rFonts w:ascii="Times New Roman" w:hAnsi="Times New Roman"/>
          <w:b w:val="false"/>
          <w:i/>
          <w:iCs/>
          <w:strike w:val="false"/>
          <w:dstrike w:val="false"/>
          <w:sz w:val="28"/>
          <w:u w:val="none"/>
        </w:rPr>
        <w:t>Ч</w:t>
      </w:r>
      <w:r>
        <w:rPr>
          <w:rFonts w:ascii="Times New Roman" w:hAnsi="Times New Roman"/>
          <w:b w:val="false"/>
          <w:i/>
          <w:iCs/>
          <w:strike w:val="false"/>
          <w:dstrike w:val="false"/>
          <w:sz w:val="28"/>
          <w:u w:val="none"/>
          <w:lang w:val="uk-UA"/>
        </w:rPr>
        <w:t>НУ</w:t>
      </w:r>
      <w:r>
        <w:rPr>
          <w:rFonts w:ascii="Times New Roman" w:hAnsi="Times New Roman"/>
          <w:b w:val="false"/>
          <w:i/>
          <w:iCs/>
          <w:strike w:val="false"/>
          <w:dstrike w:val="false"/>
          <w:sz w:val="28"/>
          <w:u w:val="none"/>
        </w:rPr>
        <w:t xml:space="preserve"> імені Юрія Федьковича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u w:val="none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u w:val="none"/>
        </w:rPr>
        <w:t>)</w:t>
      </w:r>
    </w:p>
    <w:p>
      <w:pPr>
        <w:pStyle w:val="Normal"/>
        <w:rPr>
          <w:rFonts w:ascii="Times New Roman" w:hAnsi="Times New Roman"/>
          <w:b/>
          <w:b/>
          <w:i w:val="false"/>
          <w:i w:val="false"/>
          <w:strike w:val="false"/>
          <w:dstrike w:val="false"/>
          <w:sz w:val="28"/>
          <w:u w:val="none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u w:val="none"/>
        </w:rPr>
      </w:r>
    </w:p>
    <w:p>
      <w:pPr>
        <w:pStyle w:val="Normal"/>
        <w:jc w:val="center"/>
        <w:rPr>
          <w:rFonts w:ascii="Times New Roman" w:hAnsi="Times New Roman"/>
          <w:b/>
          <w:b/>
          <w:i w:val="false"/>
          <w:i w:val="false"/>
          <w:caps/>
          <w:strike w:val="false"/>
          <w:dstrike w:val="false"/>
          <w:sz w:val="28"/>
          <w:u w:val="none"/>
        </w:rPr>
      </w:pPr>
      <w:r>
        <w:rPr>
          <w:rFonts w:ascii="Times New Roman" w:hAnsi="Times New Roman"/>
          <w:b/>
          <w:i w:val="false"/>
          <w:caps/>
          <w:strike w:val="false"/>
          <w:dstrike w:val="false"/>
          <w:sz w:val="28"/>
          <w:u w:val="none"/>
        </w:rPr>
        <w:t>Особливості емоційної обізнаності в юнацькому віці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 w:val="false"/>
          <w:caps/>
          <w:strike w:val="false"/>
          <w:dstrike w:val="false"/>
          <w:sz w:val="28"/>
          <w:u w:val="none"/>
        </w:rPr>
        <w:t xml:space="preserve"> </w:t>
      </w:r>
      <w:r>
        <w:rPr>
          <w:rFonts w:ascii="Times New Roman" w:hAnsi="Times New Roman"/>
          <w:b/>
          <w:i w:val="false"/>
          <w:caps/>
          <w:strike w:val="false"/>
          <w:dstrike w:val="false"/>
          <w:sz w:val="28"/>
          <w:u w:val="none"/>
        </w:rPr>
        <w:t>(на прикладі студентів різних спеціальностей)</w:t>
      </w:r>
      <w:r>
        <w:rPr>
          <w:rFonts w:ascii="Times New Roman" w:hAnsi="Times New Roman"/>
          <w:b/>
          <w:i w:val="false"/>
          <w:strike w:val="false"/>
          <w:dstrike w:val="false"/>
          <w:sz w:val="28"/>
          <w:u w:val="none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/>
          <w:b/>
          <w:i w:val="false"/>
          <w:i w:val="false"/>
          <w:strike w:val="false"/>
          <w:dstrike w:val="false"/>
          <w:sz w:val="28"/>
          <w:u w:val="none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u w:val="none"/>
        </w:rPr>
      </w:r>
    </w:p>
    <w:p>
      <w:pPr>
        <w:pStyle w:val="Normal"/>
        <w:jc w:val="center"/>
        <w:rPr>
          <w:rFonts w:ascii="Times New Roman" w:hAnsi="Times New Roman"/>
          <w:b/>
          <w:b/>
          <w:i w:val="false"/>
          <w:i w:val="false"/>
          <w:strike w:val="false"/>
          <w:dstrike w:val="false"/>
          <w:sz w:val="28"/>
          <w:u w:val="none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u w:val="none"/>
        </w:rPr>
      </w:r>
    </w:p>
    <w:p>
      <w:pPr>
        <w:pStyle w:val="Normal"/>
        <w:jc w:val="center"/>
        <w:rPr>
          <w:rFonts w:ascii="Times New Roman" w:hAnsi="Times New Roman"/>
          <w:b/>
          <w:b/>
          <w:i w:val="false"/>
          <w:i w:val="false"/>
          <w:strike w:val="false"/>
          <w:dstrike w:val="false"/>
          <w:color w:val="000000"/>
          <w:sz w:val="28"/>
          <w:u w:val="none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8"/>
          <w:u w:val="none"/>
        </w:rPr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Здобуття освіти та відповідного фаху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традиційно вважається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 однією з важливих задач особистісного становлення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особистості в юнацькому віці,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відтак, особа постає перед необхідністю не лише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інтеграції власних ідентичностей та реалізації власного потенціалу у міжособистісних взаємодіях, але й якомога реалістичніше оцінити власні здібності, інтереси та зацікавлення, щоб обрати свій майбутній фах і не розчаруватися в ньому.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Відповідно до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сформульованого на Світовому економічному форумі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переліку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м’яких навичок,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що будуть актуальними  на ринку праці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у найближчій перспективі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,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конкуретноспроможний фахівець потребує середовища, що сприятиме розвитку таких, досить очікуваних навичок, як аналітичне мислення, активне навчання, ініціативність, креативність, але також до топ-списку актуальних компетентностей потрапили опірність стресам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 xml:space="preserve">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(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резилієнтність), гнучкість т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а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 вміння взаємодіяти з іншими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 xml:space="preserve">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 xml:space="preserve">[7].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Проаналізувавши цей перелік можемо зауважити, що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постійне оновлення інформації необхідної для успішної професійної самореалізації,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зсув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до зростання кількості автоматичних операцій можемо дійти висновку, що сформована на основі  емоційної компетентності резилієнтність,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якісні комунікативні навички сприятимуть не лише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комунікації в команді,  але й здатності особи до самонавчання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[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9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].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Е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моційна компетентність як здатність особи усвідомлювати, як свої власні емоції так і емоції іншої 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людини,  є не лише складовою емоційного інтелекту, але й необхідною передумовою розвитку таких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 xml:space="preserve">soft skills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як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здатність працювати у команді,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відповідальності, комунікабельності,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вміння навчатися та ділитися досвідом, а також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креативності.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Як зауважує у своїй роботі присвяченій проблемі розвитку емоційної компетентності О.Льошенко, поняття емоційної компетентності (емоційної обізнаності)  з’явилося у психологічній літературі значно пізніше за поняття емоційного інтелекту, 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проте наразі актуальність його досліджень та прикладних застосувань тільки зростає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[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3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].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Поняття емоційного інтелекту досліджувалося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у працях Д.Гоулмана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(моделі емоційного інтелекту та шляхів розвитку емоційної компетентності)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, Г.Гарднера (дослідження міжособистісного та внутрішньоособистісного емоційного інтелекту), Мейера та Саловея (компоненти емоційного інтелекту), К.Саарні (складові емоційної компетентності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[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цит.за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2,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 3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 w:eastAsia="zxx" w:bidi="zxx"/>
        </w:rPr>
        <w:t>]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Відтак, задач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а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 нашого дослідження полягал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а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 у зборі емпіричних даних щодо рівня сформованості емоційної компетентності у студентів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для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 xml:space="preserve"> подальшого  використання отриманих результатів у діяльності соціально-психологічних служб вищих навчальних закладів 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 w:eastAsia="zxx" w:bidi="zxx"/>
        </w:rPr>
        <w:t>та тренінгових програмах, скерованих на розвиток емоційної компетентності майбутніх фахівців, що є опосередкованим способом підвищення їхньої конкурентоспроможності на ринку праці.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З метою перевірки припущень про відмінності  рівня та особливостей емоційної обізнаності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у студентів різних спеціальностей ми використали наступні методики: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опитувальник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Н. 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Холла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для виз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начення особливостей емоційного інтелекту, та зокрема, рівня емоційної обізнаності;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опитувальник А. Матчак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(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en-US"/>
        </w:rPr>
        <w:t>KKS)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для визначення особливостей соціального інтелекту;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методику “Рівень суб’єктивного контролю”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в адаптації Є. Бажина для визначення особливостей локусу контролю наших респондентів; а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також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т</w:t>
      </w:r>
      <w:r>
        <w:rPr>
          <w:rFonts w:cs="Times New Roman"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ест</w:t>
      </w:r>
      <w:r>
        <w:rPr>
          <w:rFonts w:cs="Times New Roman" w:ascii="Times New Roman" w:hAnsi="Times New Roman"/>
          <w:b w:val="false"/>
          <w:bCs w:val="false"/>
          <w:i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критичного мислення Л. Старкі.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Вибірку склали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студент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и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першого (бакалаврського) рівня вищої освіти (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N=95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) різних спеціальностей: студенти-психологи (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/>
        </w:rPr>
        <w:t xml:space="preserve">n=40),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студенти-тренери (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/>
        </w:rPr>
        <w:t xml:space="preserve">n=40),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та студенти технічного спрямування (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n=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15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).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Відтак для виявлення статистично значущих відмінностей в особливостях самопрезентації між групами досліджуваних з різною гендерною приналежністю ми використали </w:t>
      </w:r>
      <w:r>
        <w:rPr>
          <w:rFonts w:cs="Times New Roman"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однофакторний дисперсійний аналіз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(ANOVA). Оскільки досліджувані групи мали нерівномірний розподіл ми перевірили отримані дані на однорідність вибірки за </w:t>
      </w:r>
      <w:r>
        <w:rPr>
          <w:rFonts w:cs="Times New Roman"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критерієм Лівена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(Levene’s test). Ті шкали, за якими було виявлено неоднорідність вибірок було перевірено за </w:t>
      </w:r>
      <w:r>
        <w:rPr>
          <w:rFonts w:cs="Times New Roman"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тестом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iCs/>
          <w:strike w:val="false"/>
          <w:dstrike w:val="false"/>
          <w:color w:val="000000"/>
          <w:sz w:val="28"/>
          <w:szCs w:val="28"/>
          <w:u w:val="none"/>
          <w:lang w:val="uk-UA"/>
        </w:rPr>
        <w:t>Велча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(Welch test, аналогом ANOVA для неоднорідних вибірок). А з метою визначення особливостей самопрезентації притаманних певним гендерним характеристикам ми використали апостеріорні тести (Тьюкі для однорідних вибірок та Геймса-Хауела для неоднорідних).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Аналіз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отриманих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емпіричних даних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показав наявність істотних відмінностей за рівнем емоційної обізнаності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між студентами різних спеціальностей.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Так серед студентів-психологів осіб з низьким рівнем емоційної обізнаності виявилося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‒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12, помірний рівень притаманний ‒ 20 респондентам, а високий рівень ‒ 8 студентам. Серед студентів-тренерів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розподіл виявився досить схожим: низький рівень емоційної обізнаності притаманний 13 особам, помірний ‒ 18, натомість високий ‒ 9 респондентам, що може зумовлюватися професійною скерованістю на взаємодію у сфері “людина-людина”. Тоді як у вибірці студентів технічного спрямування високий рівень емоційної обізнаності характерний лише 2 респондентам, тоді як помірний ‒ 8, а низький ‒ 5 респондентам.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Так найбільш значущим для м’яких навичок 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 xml:space="preserve">soft skills)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рівень емоційної обізнаності виявився для студентів, що опановують фах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психологів (де емоційна обізнаність впливає і на решту складових емоційного інтелекту,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так і на комунікативну компетентність, а також рівень рефлексії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F(2,37)=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6.112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, p=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0.005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)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та рівень інтернальності у виробничих стосунках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F(2,37)=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3.138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, p=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0.055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)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). Натомість у студентів, що здобувають фах тренера емоційна обізнаність є істотною не лише для формування складових емоційного інтелекту, але й критичного мислення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 xml:space="preserve">F(2,37)=4.588, p=0.017).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А от для студентів технічного спрямування (попри те, що  їхній фах передбачає не лише опанування технічними дисциплінами, але й методикою їхнього викладання у школах та професійно-технічних учбових закладах)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рівень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емоційн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ої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обізнан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ст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і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є істотним для формування самомотивації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 xml:space="preserve">Welch’s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/>
        </w:rPr>
        <w:t>F(2,12)=7.230, p=0.030)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 та певною мірою може визначати тенденції проявів притаманних їм рівнів інтернальності у невдачах та інтернальності у сімейних відносинах.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Підсумовуючи можемо зауважити,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що попри скерованість усіх трьох груп респондентів на взаємодію у сфері “людина-людина”, студенти технічного спрямування мають менше можливостей для формування рівня емоційної компетентності, оскільки у них емоційна компетентність впливає лише на сферу приватних взаємодій.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 xml:space="preserve">У студентів-тренерів помірний рівень емоційної обізнаності пов’язаний з досить високим рівнем критичного мислення, але також показує, що низький рівень критичного мислення пов’язаний з низьким рівнем емоційної обізнаності. Можемо також відзначити, що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наразі для студентів-тренерів їхня емоційна обізнаність є більш важливою не як складова професійної реалізації, а лише як складова емоційного інтелектуальна, тобто є більш акцентованою на особистій реалізації. Натомість у студентів-психологів емоційна обізнаність цілком очікувано пов’язана не лише з емоційним інтелектом, але також і з соціальним інтелектом та інтернальністю у виробничій сфері.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В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  <w:t>ідтак, можемо припустити, що відповідні тренінги з метою розвитку емоційної обізнаності допоможе студентам технічного та спортивного спрямування краще підготуватися до майбутньої професійної діяльності та бути більш стійкими до професійного вигорання, притаманного фахівцям зі сфери взаємодії “людина-людина”.</w:t>
      </w:r>
    </w:p>
    <w:p>
      <w:pPr>
        <w:pStyle w:val="Normal"/>
        <w:shd w:fill="FFFFFF" w:val="clear"/>
        <w:spacing w:lineRule="auto" w:line="360"/>
        <w:ind w:left="0" w:right="0" w:firstLine="567"/>
        <w:jc w:val="both"/>
        <w:rPr>
          <w:color w:val="5983B0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uk-UA"/>
        </w:rPr>
      </w:r>
    </w:p>
    <w:p>
      <w:pPr>
        <w:pStyle w:val="Normal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Список літератури: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hd w:fill="FFFFFF" w:val="clear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left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  <w:t xml:space="preserve">Байєр О.О., Моцна С. В. Індивідуально-психологічні характеристики представників групи професій “людина-техніка”. </w:t>
      </w:r>
      <w:r>
        <w:rPr>
          <w:rFonts w:eastAsia="TimesNewRomanPSMT" w:cs="TimesNewRomanPSMT" w:ascii="Times New Roman" w:hAnsi="Times New Roman"/>
          <w:b w:val="false"/>
          <w:bCs w:val="false"/>
          <w:i/>
          <w:iCs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  <w:t>Соціально-гуманітарні науки та сучасні виклики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  <w:t>: Матеріали ІІІ Всеукр. наук. конф., 25-26 травня 2018 р. Дніпро, 2018. С. 243-244</w:t>
      </w:r>
    </w:p>
    <w:p>
      <w:pPr>
        <w:pStyle w:val="Normal"/>
        <w:numPr>
          <w:ilvl w:val="0"/>
          <w:numId w:val="1"/>
        </w:numPr>
        <w:shd w:fill="FFFFFF" w:val="clear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  <w:t xml:space="preserve">Гоулман Д. Емоційний інтелект. Харків: Vivat, 2019. 512 с. </w:t>
      </w:r>
    </w:p>
    <w:p>
      <w:pPr>
        <w:pStyle w:val="Normal"/>
        <w:numPr>
          <w:ilvl w:val="0"/>
          <w:numId w:val="1"/>
        </w:numPr>
        <w:shd w:fill="FFFFFF" w:val="clear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both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  <w:t xml:space="preserve">Льошенко О. А. Проблема розвитку емоційної компетентності [Електронний ресурс]. Режим доступу до ресурсу: https://sociology.knu.ua/sites/default/files/library/elopen/aktprob14_119.pdf </w:t>
      </w:r>
    </w:p>
    <w:p>
      <w:pPr>
        <w:pStyle w:val="TextBody"/>
        <w:numPr>
          <w:ilvl w:val="0"/>
          <w:numId w:val="1"/>
        </w:numPr>
        <w:shd w:val="clear" w:fill="FFFFFF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left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shd w:fill="auto" w:val="clear"/>
          <w:lang w:val="uk-UA" w:eastAsia="cs-CZ" w:bidi="zxx"/>
        </w:rPr>
        <w:t xml:space="preserve">Лящ О. П. Психологічні особливості емоційного інтелекту студентів педагогічного університету [Електронний ресурс] // Науковий вісник Херсонського державного університету. 2017. Режим доступу до ресурсу: https://journals.indexcopernicus.com/api/file/viewByFileId/514309.pdf. </w:t>
      </w:r>
    </w:p>
    <w:p>
      <w:pPr>
        <w:pStyle w:val="TextBody"/>
        <w:numPr>
          <w:ilvl w:val="0"/>
          <w:numId w:val="1"/>
        </w:numPr>
        <w:shd w:val="clear" w:fill="FFFFFF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left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shd w:fill="auto" w:val="clear"/>
          <w:lang w:val="uk-UA" w:eastAsia="cs-CZ" w:bidi="zxx"/>
        </w:rPr>
        <w:t xml:space="preserve">Мазуренко В. Розвиток резилієнтності як передумова психологічного здоров'я [Електронний ресурс]. 2020. Режим доступу до ресурсу: https://www.udau.edu.ua/ua/other-news/rozvitok-rezilientnosti-yak-peredumova-psihologichnogo-zdorovya.html </w:t>
      </w:r>
    </w:p>
    <w:p>
      <w:pPr>
        <w:pStyle w:val="TextBody"/>
        <w:numPr>
          <w:ilvl w:val="0"/>
          <w:numId w:val="1"/>
        </w:numPr>
        <w:shd w:val="clear" w:fill="FFFFFF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left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shd w:fill="auto" w:val="clear"/>
          <w:lang w:val="uk-UA" w:eastAsia="cs-CZ" w:bidi="zxx"/>
        </w:rPr>
        <w:t>Психофізіологічне забезпечення становлення фахівця у професіях типу "людина-людина": монографія / заг. ред. О. М. Кокуна. Київ, 2013. 265 с.</w:t>
      </w:r>
    </w:p>
    <w:p>
      <w:pPr>
        <w:pStyle w:val="TextBody"/>
        <w:numPr>
          <w:ilvl w:val="0"/>
          <w:numId w:val="1"/>
        </w:numPr>
        <w:shd w:val="clear" w:fill="FFFFFF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left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shd w:fill="auto" w:val="clear"/>
          <w:lang w:val="uk-UA" w:eastAsia="cs-CZ" w:bidi="zxx"/>
        </w:rPr>
        <w:t xml:space="preserve">Топ-10 навичок 2025 року [Електронний ресурс] // Освіторія. 2020. Режим доступу до ресурсу: https://osvitoria.media/news/svitovyj-ekonomichnyj-forum-nazvav-top-10-navychok-majbutnogo/ </w:t>
      </w:r>
    </w:p>
    <w:p>
      <w:pPr>
        <w:pStyle w:val="Normal"/>
        <w:numPr>
          <w:ilvl w:val="0"/>
          <w:numId w:val="1"/>
        </w:numPr>
        <w:shd w:fill="FFFFFF" w:val="clear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  <w:t xml:space="preserve">Хьелл Л., Зиглер Д. Теории личности. </w:t>
      </w:r>
      <w:r>
        <w:rPr>
          <w:rFonts w:eastAsia="SimSun" w:cs="Arial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2"/>
          <w:szCs w:val="22"/>
          <w:u w:val="none"/>
          <w:lang w:val="uk-UA" w:eastAsia="zh-CN" w:bidi="hi-IN"/>
        </w:rPr>
        <w:t>Санкт-Петербург</w:t>
      </w: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  <w:t>, 2004. 607 с.</w:t>
      </w:r>
    </w:p>
    <w:p>
      <w:pPr>
        <w:pStyle w:val="TextBody"/>
        <w:numPr>
          <w:ilvl w:val="0"/>
          <w:numId w:val="1"/>
        </w:numPr>
        <w:shd w:val="clear" w:fill="FFFFFF"/>
        <w:tabs>
          <w:tab w:val="left" w:pos="720" w:leader="none"/>
          <w:tab w:val="left" w:pos="900" w:leader="none"/>
          <w:tab w:val="left" w:pos="1440" w:leader="none"/>
        </w:tabs>
        <w:bidi w:val="0"/>
        <w:spacing w:lineRule="auto" w:line="360" w:before="0" w:after="0"/>
        <w:jc w:val="left"/>
        <w:rPr>
          <w:rFonts w:ascii="Times New Roman" w:hAnsi="Times New Roman" w:eastAsia="TimesNewRomanPSMT" w:cs="TimesNewRomanPSMT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lang w:val="uk-UA" w:eastAsia="cs-CZ" w:bidi="zxx"/>
        </w:rPr>
      </w:pPr>
      <w:r>
        <w:rPr>
          <w:rFonts w:eastAsia="TimesNewRomanPSMT" w:cs="TimesNewRomanPSMT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2"/>
          <w:szCs w:val="22"/>
          <w:u w:val="none"/>
          <w:shd w:fill="auto" w:val="clear"/>
          <w:lang w:val="uk-UA" w:eastAsia="cs-CZ" w:bidi="zxx"/>
        </w:rPr>
        <w:t xml:space="preserve">Шульга О. Кадри на мільйон. Які навички та здібності впливають на рівень зарплатні [Електронний ресурс]  // НВ.  2018. Режим доступу до ресурсу: https://biz.nv.ua/ukr/publications/kadri-na-miljon-jaki-navichki-ta-zdibnosti-vplivajut-na-riven-zarplatni-2502467.html 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57" w:firstLine="226"/>
      </w:pPr>
      <w:rPr>
        <w:sz w:val="28"/>
        <w:b w:val="false"/>
        <w:bCs w:val="false"/>
        <w:rFonts w:ascii="Times New Roman" w:hAnsi="Times New Roman"/>
        <w:color w:val="000000"/>
      </w:rPr>
    </w:lvl>
    <w:lvl w:ilvl="1">
      <w:start w:val="1"/>
      <w:numFmt w:val="decimal"/>
      <w:lvlText w:val="%1.%2"/>
      <w:lvlJc w:val="right"/>
      <w:pPr>
        <w:tabs>
          <w:tab w:val="num" w:pos="1080"/>
        </w:tabs>
        <w:ind w:left="1080" w:hanging="360"/>
      </w:pPr>
      <w:rPr>
        <w:b w:val="false"/>
        <w:bCs w:val="false"/>
        <w:color w:val="000000"/>
      </w:rPr>
    </w:lvl>
    <w:lvl w:ilvl="2">
      <w:start w:val="1"/>
      <w:numFmt w:val="decimal"/>
      <w:lvlText w:val="%1.%2.%3"/>
      <w:lvlJc w:val="right"/>
      <w:pPr>
        <w:tabs>
          <w:tab w:val="num" w:pos="1440"/>
        </w:tabs>
        <w:ind w:left="1440" w:hanging="360"/>
      </w:pPr>
      <w:rPr>
        <w:b w:val="false"/>
        <w:bCs w:val="false"/>
        <w:color w:val="000000"/>
      </w:rPr>
    </w:lvl>
    <w:lvl w:ilvl="3">
      <w:start w:val="1"/>
      <w:numFmt w:val="decimal"/>
      <w:lvlText w:val="%1.%2.%3.%4"/>
      <w:lvlJc w:val="right"/>
      <w:pPr>
        <w:tabs>
          <w:tab w:val="num" w:pos="1800"/>
        </w:tabs>
        <w:ind w:left="1800" w:hanging="360"/>
      </w:pPr>
      <w:rPr>
        <w:b w:val="false"/>
        <w:bCs w:val="false"/>
        <w:color w:val="000000"/>
      </w:rPr>
    </w:lvl>
    <w:lvl w:ilvl="4">
      <w:start w:val="1"/>
      <w:numFmt w:val="decimal"/>
      <w:lvlText w:val="%1.%2.%3.%4.%5"/>
      <w:lvlJc w:val="right"/>
      <w:pPr>
        <w:tabs>
          <w:tab w:val="num" w:pos="2160"/>
        </w:tabs>
        <w:ind w:left="2160" w:hanging="360"/>
      </w:pPr>
      <w:rPr>
        <w:b w:val="false"/>
        <w:bCs w:val="false"/>
        <w:color w:val="000000"/>
      </w:rPr>
    </w:lvl>
    <w:lvl w:ilvl="5">
      <w:start w:val="1"/>
      <w:numFmt w:val="decimal"/>
      <w:lvlText w:val="%2.%3.%4.%5.%6"/>
      <w:lvlJc w:val="right"/>
      <w:pPr>
        <w:tabs>
          <w:tab w:val="num" w:pos="2520"/>
        </w:tabs>
        <w:ind w:left="2520" w:hanging="360"/>
      </w:pPr>
      <w:rPr>
        <w:b w:val="false"/>
        <w:bCs w:val="false"/>
        <w:color w:val="000000"/>
      </w:rPr>
    </w:lvl>
    <w:lvl w:ilvl="6">
      <w:start w:val="1"/>
      <w:numFmt w:val="decimal"/>
      <w:lvlText w:val="%3.%4.%5.%6.%7"/>
      <w:lvlJc w:val="right"/>
      <w:pPr>
        <w:tabs>
          <w:tab w:val="num" w:pos="2880"/>
        </w:tabs>
        <w:ind w:left="2880" w:hanging="360"/>
      </w:pPr>
      <w:rPr>
        <w:b w:val="false"/>
        <w:bCs w:val="false"/>
        <w:color w:val="000000"/>
      </w:rPr>
    </w:lvl>
    <w:lvl w:ilvl="7">
      <w:start w:val="1"/>
      <w:numFmt w:val="decimal"/>
      <w:lvlText w:val="%4.%5.%6.%7.%8"/>
      <w:lvlJc w:val="right"/>
      <w:pPr>
        <w:tabs>
          <w:tab w:val="num" w:pos="3240"/>
        </w:tabs>
        <w:ind w:left="3240" w:hanging="360"/>
      </w:pPr>
      <w:rPr>
        <w:b w:val="false"/>
        <w:bCs w:val="false"/>
        <w:color w:val="000000"/>
      </w:rPr>
    </w:lvl>
    <w:lvl w:ilvl="8">
      <w:start w:val="1"/>
      <w:numFmt w:val="decimal"/>
      <w:lvlText w:val="%5.%6.%7.%8.%9"/>
      <w:lvlJc w:val="right"/>
      <w:pPr>
        <w:tabs>
          <w:tab w:val="num" w:pos="3600"/>
        </w:tabs>
        <w:ind w:left="3600" w:hanging="360"/>
      </w:pPr>
      <w:rPr>
        <w:b w:val="false"/>
        <w:bCs w:val="false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LibreOffice/7.0.2.2$Windows_X86_64 LibreOffice_project/8349ace3c3162073abd90d81fd06dcfb6b36b994</Application>
  <Pages>5</Pages>
  <Words>1064</Words>
  <Characters>8030</Characters>
  <CharactersWithSpaces>9084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2021-10-05T14:26:00Z</dcterms:created>
  <dc:creator>RePack by Diakov</dc:creator>
  <dc:description/>
  <dc:language>en-US</dc:language>
  <cp:lastModifiedBy>Natalie Heisonyuk</cp:lastModifiedBy>
  <dcterms:modified xsi:type="dcterms:W3CDTF">2021-10-11T04:05:02Z</dcterms:modified>
  <cp:revision>4</cp:revision>
  <dc:subject/>
  <dc:title/>
</cp:coreProperties>
</file>