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763" w:rsidRPr="005266B9" w:rsidRDefault="00096763" w:rsidP="004A5648">
      <w:pPr>
        <w:ind w:firstLine="0"/>
      </w:pPr>
      <w:r w:rsidRPr="005266B9">
        <w:t>УДК 316. 624-053.6</w:t>
      </w:r>
    </w:p>
    <w:p w:rsidR="00096763" w:rsidRPr="005266B9" w:rsidRDefault="00096763" w:rsidP="00096763">
      <w:pPr>
        <w:ind w:firstLine="709"/>
      </w:pPr>
    </w:p>
    <w:p w:rsidR="00096763" w:rsidRPr="00B66114" w:rsidRDefault="00096763" w:rsidP="00096763">
      <w:pPr>
        <w:ind w:firstLine="0"/>
        <w:rPr>
          <w:b/>
        </w:rPr>
      </w:pPr>
      <w:r w:rsidRPr="00B66114">
        <w:rPr>
          <w:b/>
        </w:rPr>
        <w:t xml:space="preserve">Андрєєва Ярослава Федорівна, </w:t>
      </w:r>
    </w:p>
    <w:p w:rsidR="00096763" w:rsidRPr="005266B9" w:rsidRDefault="00096763" w:rsidP="00096763">
      <w:pPr>
        <w:ind w:firstLine="0"/>
      </w:pPr>
      <w:r w:rsidRPr="005266B9">
        <w:t xml:space="preserve">кандидат психологічних наук, доцент, </w:t>
      </w:r>
      <w:r w:rsidR="00495569">
        <w:t>доцент</w:t>
      </w:r>
      <w:r w:rsidRPr="005266B9">
        <w:t xml:space="preserve"> кафедри психології</w:t>
      </w:r>
    </w:p>
    <w:p w:rsidR="00096763" w:rsidRPr="005266B9" w:rsidRDefault="00096763" w:rsidP="00096763">
      <w:pPr>
        <w:ind w:firstLine="0"/>
      </w:pPr>
      <w:r w:rsidRPr="005266B9">
        <w:t>Чернівецького національного університету Імені Юрія Федьковича</w:t>
      </w:r>
    </w:p>
    <w:p w:rsidR="00096763" w:rsidRPr="00B66114" w:rsidRDefault="00096763" w:rsidP="00096763">
      <w:pPr>
        <w:ind w:firstLine="0"/>
        <w:rPr>
          <w:b/>
        </w:rPr>
      </w:pPr>
      <w:r w:rsidRPr="00B66114">
        <w:rPr>
          <w:b/>
        </w:rPr>
        <w:t>Собкова Світлана Іванівна,</w:t>
      </w:r>
    </w:p>
    <w:p w:rsidR="00096763" w:rsidRPr="005266B9" w:rsidRDefault="00096763" w:rsidP="00096763">
      <w:pPr>
        <w:ind w:firstLine="0"/>
      </w:pPr>
      <w:r w:rsidRPr="005266B9">
        <w:t>кандидат психологічних наук, доцент, доцент кафедри психології</w:t>
      </w:r>
    </w:p>
    <w:p w:rsidR="00096763" w:rsidRPr="005266B9" w:rsidRDefault="00096763" w:rsidP="00096763">
      <w:pPr>
        <w:ind w:firstLine="0"/>
      </w:pPr>
      <w:r w:rsidRPr="005266B9">
        <w:t>Чернівецького національного університету Імені Юрія Федьковича</w:t>
      </w:r>
    </w:p>
    <w:p w:rsidR="00980DEE" w:rsidRDefault="00980DEE"/>
    <w:p w:rsidR="00096763" w:rsidRPr="00C2478F" w:rsidRDefault="00096763" w:rsidP="00096763">
      <w:pPr>
        <w:ind w:firstLine="902"/>
        <w:jc w:val="center"/>
        <w:rPr>
          <w:b/>
        </w:rPr>
      </w:pPr>
      <w:r w:rsidRPr="00C2478F">
        <w:rPr>
          <w:b/>
        </w:rPr>
        <w:t>ДОСЛІДЖЕННЯ СХИЛЬНОСТІ УЧНІВ ДО ВИЯВІВ ДЕВІАНТНОЇ ПОВЕДІНКИ</w:t>
      </w:r>
    </w:p>
    <w:p w:rsidR="00417FB5" w:rsidRPr="00D27AD8" w:rsidRDefault="00417FB5" w:rsidP="00417FB5">
      <w:pPr>
        <w:ind w:firstLine="709"/>
        <w:jc w:val="center"/>
        <w:rPr>
          <w:b/>
          <w:lang w:val="en-US"/>
        </w:rPr>
      </w:pPr>
      <w:bookmarkStart w:id="0" w:name="_GoBack"/>
      <w:bookmarkEnd w:id="0"/>
      <w:r w:rsidRPr="00D27AD8">
        <w:rPr>
          <w:b/>
          <w:lang w:val="en-US"/>
        </w:rPr>
        <w:t>T</w:t>
      </w:r>
      <w:r>
        <w:rPr>
          <w:b/>
          <w:lang w:val="en-US"/>
        </w:rPr>
        <w:t xml:space="preserve">HE </w:t>
      </w:r>
      <w:r w:rsidRPr="00D27AD8">
        <w:rPr>
          <w:b/>
          <w:lang w:val="en-US"/>
        </w:rPr>
        <w:t>S</w:t>
      </w:r>
      <w:r>
        <w:rPr>
          <w:b/>
          <w:lang w:val="en-US"/>
        </w:rPr>
        <w:t>TUDIES</w:t>
      </w:r>
      <w:r w:rsidRPr="00D27AD8">
        <w:rPr>
          <w:b/>
          <w:lang w:val="en-US"/>
        </w:rPr>
        <w:t xml:space="preserve"> </w:t>
      </w:r>
      <w:r>
        <w:rPr>
          <w:b/>
          <w:lang w:val="en-US"/>
        </w:rPr>
        <w:t xml:space="preserve">OF </w:t>
      </w:r>
      <w:r w:rsidRPr="00D27AD8">
        <w:rPr>
          <w:b/>
          <w:lang w:val="en-US"/>
        </w:rPr>
        <w:t>S</w:t>
      </w:r>
      <w:r>
        <w:rPr>
          <w:b/>
          <w:lang w:val="en-US"/>
        </w:rPr>
        <w:t xml:space="preserve">TUDENT’S </w:t>
      </w:r>
      <w:r w:rsidRPr="00D27AD8">
        <w:rPr>
          <w:b/>
          <w:lang w:val="en-US"/>
        </w:rPr>
        <w:t>P</w:t>
      </w:r>
      <w:r>
        <w:rPr>
          <w:b/>
          <w:lang w:val="en-US"/>
        </w:rPr>
        <w:t xml:space="preserve">ROPENSITY TO </w:t>
      </w:r>
      <w:r w:rsidRPr="00D27AD8">
        <w:rPr>
          <w:b/>
          <w:lang w:val="en-US"/>
        </w:rPr>
        <w:t>D</w:t>
      </w:r>
      <w:r>
        <w:rPr>
          <w:b/>
          <w:lang w:val="en-US"/>
        </w:rPr>
        <w:t xml:space="preserve">EVIANT </w:t>
      </w:r>
      <w:r w:rsidRPr="00D27AD8">
        <w:rPr>
          <w:b/>
          <w:lang w:val="en-US"/>
        </w:rPr>
        <w:t>B</w:t>
      </w:r>
      <w:r>
        <w:rPr>
          <w:b/>
          <w:lang w:val="en-US"/>
        </w:rPr>
        <w:t>EHAVIOR</w:t>
      </w:r>
    </w:p>
    <w:p w:rsidR="00096763" w:rsidRPr="00417FB5" w:rsidRDefault="00096763" w:rsidP="00096763">
      <w:pPr>
        <w:ind w:firstLine="902"/>
        <w:rPr>
          <w:lang w:val="en-US"/>
        </w:rPr>
      </w:pPr>
    </w:p>
    <w:p w:rsidR="005E6630" w:rsidRDefault="005E6630" w:rsidP="005E6630">
      <w:pPr>
        <w:ind w:firstLine="709"/>
        <w:rPr>
          <w:i/>
        </w:rPr>
      </w:pPr>
      <w:r>
        <w:rPr>
          <w:i/>
        </w:rPr>
        <w:t xml:space="preserve">У </w:t>
      </w:r>
      <w:r>
        <w:rPr>
          <w:i/>
          <w:lang w:val="ru-RU"/>
        </w:rPr>
        <w:t>с</w:t>
      </w:r>
      <w:r>
        <w:rPr>
          <w:i/>
        </w:rPr>
        <w:t>татті представлен</w:t>
      </w:r>
      <w:r w:rsidR="00495569">
        <w:rPr>
          <w:i/>
        </w:rPr>
        <w:t>і</w:t>
      </w:r>
      <w:r>
        <w:rPr>
          <w:i/>
        </w:rPr>
        <w:t xml:space="preserve"> результати </w:t>
      </w:r>
      <w:r w:rsidR="00E81589">
        <w:rPr>
          <w:i/>
        </w:rPr>
        <w:t>дослідження</w:t>
      </w:r>
      <w:r>
        <w:rPr>
          <w:i/>
        </w:rPr>
        <w:t xml:space="preserve"> схильності учнів загальноосвітніх закладів до проявів девіантної поведінки. У зв</w:t>
      </w:r>
      <w:r w:rsidRPr="00694ED5">
        <w:rPr>
          <w:i/>
        </w:rPr>
        <w:t>’</w:t>
      </w:r>
      <w:r>
        <w:rPr>
          <w:i/>
        </w:rPr>
        <w:t xml:space="preserve">язку із цим актуалізовано проблему, висвітлено основні напрями її дослідження з </w:t>
      </w:r>
      <w:r w:rsidR="00EC6277">
        <w:rPr>
          <w:i/>
        </w:rPr>
        <w:t>погляду</w:t>
      </w:r>
      <w:r>
        <w:rPr>
          <w:i/>
        </w:rPr>
        <w:t xml:space="preserve"> різних науковців, показана їх роль у вивчені зазначеної проблематики, описано методику, за допомогою якої здійснена відповідна діагностика схильності учнів до проявів різного роду девіацій у поведінці, а також поясн</w:t>
      </w:r>
      <w:r w:rsidR="00EC6277">
        <w:rPr>
          <w:i/>
        </w:rPr>
        <w:t>юється</w:t>
      </w:r>
      <w:r>
        <w:rPr>
          <w:i/>
        </w:rPr>
        <w:t xml:space="preserve"> принцип опрацювання отриманих </w:t>
      </w:r>
      <w:r w:rsidR="00DA584B">
        <w:rPr>
          <w:i/>
        </w:rPr>
        <w:t>даних</w:t>
      </w:r>
      <w:r>
        <w:rPr>
          <w:i/>
        </w:rPr>
        <w:t xml:space="preserve"> у відповідності до шкал</w:t>
      </w:r>
      <w:r w:rsidR="003A4B0F">
        <w:rPr>
          <w:i/>
        </w:rPr>
        <w:t>.</w:t>
      </w:r>
    </w:p>
    <w:p w:rsidR="005E6630" w:rsidRDefault="005E6630" w:rsidP="005E6630">
      <w:pPr>
        <w:ind w:firstLine="709"/>
        <w:rPr>
          <w:i/>
        </w:rPr>
      </w:pPr>
      <w:r w:rsidRPr="00525B43">
        <w:rPr>
          <w:i/>
        </w:rPr>
        <w:t>У процесі опису отриманих в ході дослідження результатів представлено дані за різними шкалами методики: установка на соціально бажані відповіді, схильн</w:t>
      </w:r>
      <w:r>
        <w:rPr>
          <w:i/>
        </w:rPr>
        <w:t>і</w:t>
      </w:r>
      <w:r w:rsidRPr="00525B43">
        <w:rPr>
          <w:i/>
        </w:rPr>
        <w:t>ст</w:t>
      </w:r>
      <w:r>
        <w:rPr>
          <w:i/>
        </w:rPr>
        <w:t>ь</w:t>
      </w:r>
      <w:r w:rsidRPr="00525B43">
        <w:rPr>
          <w:i/>
        </w:rPr>
        <w:t xml:space="preserve"> до порушень норм і правил, схильн</w:t>
      </w:r>
      <w:r>
        <w:rPr>
          <w:i/>
        </w:rPr>
        <w:t xml:space="preserve">ість до адиктивної поведінки, </w:t>
      </w:r>
      <w:r w:rsidRPr="00525B43">
        <w:rPr>
          <w:i/>
        </w:rPr>
        <w:t>схильн</w:t>
      </w:r>
      <w:r>
        <w:rPr>
          <w:i/>
        </w:rPr>
        <w:t>ість</w:t>
      </w:r>
      <w:r w:rsidRPr="00525B43">
        <w:rPr>
          <w:i/>
        </w:rPr>
        <w:t xml:space="preserve"> до самоушкодження і саморуйнування, схильн</w:t>
      </w:r>
      <w:r>
        <w:rPr>
          <w:i/>
        </w:rPr>
        <w:t>і</w:t>
      </w:r>
      <w:r w:rsidRPr="00525B43">
        <w:rPr>
          <w:i/>
        </w:rPr>
        <w:t>ст</w:t>
      </w:r>
      <w:r>
        <w:rPr>
          <w:i/>
        </w:rPr>
        <w:t>ь</w:t>
      </w:r>
      <w:r w:rsidRPr="00525B43">
        <w:rPr>
          <w:i/>
        </w:rPr>
        <w:t xml:space="preserve"> до агресії і насильства, вольов</w:t>
      </w:r>
      <w:r>
        <w:rPr>
          <w:i/>
        </w:rPr>
        <w:t xml:space="preserve">ий </w:t>
      </w:r>
      <w:r w:rsidRPr="00525B43">
        <w:rPr>
          <w:i/>
        </w:rPr>
        <w:t>контрол</w:t>
      </w:r>
      <w:r>
        <w:rPr>
          <w:i/>
        </w:rPr>
        <w:t>ь</w:t>
      </w:r>
      <w:r w:rsidRPr="00525B43">
        <w:rPr>
          <w:i/>
        </w:rPr>
        <w:t xml:space="preserve"> е</w:t>
      </w:r>
      <w:r>
        <w:rPr>
          <w:i/>
        </w:rPr>
        <w:t xml:space="preserve">моційних реакцій, </w:t>
      </w:r>
      <w:r w:rsidRPr="00525B43">
        <w:rPr>
          <w:i/>
        </w:rPr>
        <w:t>схильн</w:t>
      </w:r>
      <w:r>
        <w:rPr>
          <w:i/>
        </w:rPr>
        <w:t>і</w:t>
      </w:r>
      <w:r w:rsidRPr="00525B43">
        <w:rPr>
          <w:i/>
        </w:rPr>
        <w:t>ст</w:t>
      </w:r>
      <w:r>
        <w:rPr>
          <w:i/>
        </w:rPr>
        <w:t>ь</w:t>
      </w:r>
      <w:r w:rsidRPr="00525B43">
        <w:rPr>
          <w:i/>
        </w:rPr>
        <w:t xml:space="preserve"> до делінквентної поведінки.</w:t>
      </w:r>
      <w:r>
        <w:rPr>
          <w:i/>
        </w:rPr>
        <w:t xml:space="preserve"> Окрім цього, результати представлені у відповідності до </w:t>
      </w:r>
      <w:r w:rsidR="00344934">
        <w:rPr>
          <w:i/>
        </w:rPr>
        <w:t xml:space="preserve">навчального </w:t>
      </w:r>
      <w:r>
        <w:rPr>
          <w:i/>
        </w:rPr>
        <w:t xml:space="preserve">класу, статевої належності, а також </w:t>
      </w:r>
      <w:r w:rsidR="00E02BB9">
        <w:rPr>
          <w:i/>
        </w:rPr>
        <w:t>у  загальному ракурсі</w:t>
      </w:r>
      <w:r>
        <w:rPr>
          <w:i/>
        </w:rPr>
        <w:t xml:space="preserve">. Цікавим є також принцип співставлення отриманих </w:t>
      </w:r>
      <w:r w:rsidR="007659D1">
        <w:rPr>
          <w:i/>
        </w:rPr>
        <w:lastRenderedPageBreak/>
        <w:t>результатів</w:t>
      </w:r>
      <w:r>
        <w:rPr>
          <w:i/>
        </w:rPr>
        <w:t xml:space="preserve"> в розрізі класів та у </w:t>
      </w:r>
      <w:r w:rsidR="007659D1">
        <w:rPr>
          <w:i/>
        </w:rPr>
        <w:t>гендерному аспекті аналізу проблеми</w:t>
      </w:r>
      <w:r>
        <w:rPr>
          <w:i/>
        </w:rPr>
        <w:t xml:space="preserve">. З такої позиції </w:t>
      </w:r>
      <w:r w:rsidRPr="00525B43">
        <w:rPr>
          <w:i/>
        </w:rPr>
        <w:t xml:space="preserve"> </w:t>
      </w:r>
      <w:r>
        <w:rPr>
          <w:i/>
        </w:rPr>
        <w:t>продемонстровано найрозповсюдженіші види девіацій учнів. У висновках представлен</w:t>
      </w:r>
      <w:r w:rsidR="007659D1">
        <w:rPr>
          <w:i/>
        </w:rPr>
        <w:t>ий</w:t>
      </w:r>
      <w:r>
        <w:rPr>
          <w:i/>
        </w:rPr>
        <w:t xml:space="preserve"> відсоток </w:t>
      </w:r>
      <w:r w:rsidRPr="00694ED5">
        <w:rPr>
          <w:i/>
        </w:rPr>
        <w:t xml:space="preserve">респондентів </w:t>
      </w:r>
      <w:r>
        <w:rPr>
          <w:i/>
        </w:rPr>
        <w:t xml:space="preserve">від загальної кількості, які </w:t>
      </w:r>
      <w:r w:rsidRPr="00694ED5">
        <w:rPr>
          <w:i/>
        </w:rPr>
        <w:t>мають схильності до девіантної поведінки</w:t>
      </w:r>
      <w:r>
        <w:rPr>
          <w:i/>
        </w:rPr>
        <w:t xml:space="preserve">, показано, у яких класах </w:t>
      </w:r>
      <w:r w:rsidRPr="00694ED5">
        <w:rPr>
          <w:i/>
        </w:rPr>
        <w:t xml:space="preserve">сконцентрована </w:t>
      </w:r>
      <w:r>
        <w:rPr>
          <w:i/>
        </w:rPr>
        <w:t xml:space="preserve">їх найбільша кількість, </w:t>
      </w:r>
      <w:r w:rsidR="003A4B0F">
        <w:rPr>
          <w:i/>
        </w:rPr>
        <w:t>подані</w:t>
      </w:r>
      <w:r>
        <w:rPr>
          <w:i/>
        </w:rPr>
        <w:t xml:space="preserve"> найпоширеніші</w:t>
      </w:r>
      <w:r w:rsidRPr="00694ED5">
        <w:rPr>
          <w:i/>
        </w:rPr>
        <w:t xml:space="preserve"> прояви девіацій серед учнів 5–10 класів</w:t>
      </w:r>
      <w:r>
        <w:rPr>
          <w:i/>
        </w:rPr>
        <w:t>, описан</w:t>
      </w:r>
      <w:r w:rsidR="007659D1">
        <w:rPr>
          <w:i/>
        </w:rPr>
        <w:t>і</w:t>
      </w:r>
      <w:r>
        <w:rPr>
          <w:i/>
        </w:rPr>
        <w:t xml:space="preserve"> особливості прояву різних видів девіацій у відповідності до класу за такими шкалами: </w:t>
      </w:r>
      <w:r w:rsidRPr="00525B43">
        <w:rPr>
          <w:i/>
        </w:rPr>
        <w:t>: установка на соціально бажані відповіді, схильн</w:t>
      </w:r>
      <w:r>
        <w:rPr>
          <w:i/>
        </w:rPr>
        <w:t>і</w:t>
      </w:r>
      <w:r w:rsidRPr="00525B43">
        <w:rPr>
          <w:i/>
        </w:rPr>
        <w:t>ст</w:t>
      </w:r>
      <w:r>
        <w:rPr>
          <w:i/>
        </w:rPr>
        <w:t>ь</w:t>
      </w:r>
      <w:r w:rsidRPr="00525B43">
        <w:rPr>
          <w:i/>
        </w:rPr>
        <w:t xml:space="preserve"> до порушень норм і правил, схильн</w:t>
      </w:r>
      <w:r>
        <w:rPr>
          <w:i/>
        </w:rPr>
        <w:t xml:space="preserve">ість до адиктивної поведінки, </w:t>
      </w:r>
      <w:r w:rsidRPr="00525B43">
        <w:rPr>
          <w:i/>
        </w:rPr>
        <w:t>схильн</w:t>
      </w:r>
      <w:r>
        <w:rPr>
          <w:i/>
        </w:rPr>
        <w:t>ість</w:t>
      </w:r>
      <w:r w:rsidRPr="00525B43">
        <w:rPr>
          <w:i/>
        </w:rPr>
        <w:t xml:space="preserve"> до самоушкодження і саморуйнування, схильн</w:t>
      </w:r>
      <w:r>
        <w:rPr>
          <w:i/>
        </w:rPr>
        <w:t>і</w:t>
      </w:r>
      <w:r w:rsidRPr="00525B43">
        <w:rPr>
          <w:i/>
        </w:rPr>
        <w:t>ст</w:t>
      </w:r>
      <w:r>
        <w:rPr>
          <w:i/>
        </w:rPr>
        <w:t>ь</w:t>
      </w:r>
      <w:r w:rsidRPr="00525B43">
        <w:rPr>
          <w:i/>
        </w:rPr>
        <w:t xml:space="preserve"> до агресії і насильства, вольов</w:t>
      </w:r>
      <w:r>
        <w:rPr>
          <w:i/>
        </w:rPr>
        <w:t xml:space="preserve">ий </w:t>
      </w:r>
      <w:r w:rsidRPr="00525B43">
        <w:rPr>
          <w:i/>
        </w:rPr>
        <w:t>контрол</w:t>
      </w:r>
      <w:r>
        <w:rPr>
          <w:i/>
        </w:rPr>
        <w:t>ь</w:t>
      </w:r>
      <w:r w:rsidRPr="00525B43">
        <w:rPr>
          <w:i/>
        </w:rPr>
        <w:t xml:space="preserve"> е</w:t>
      </w:r>
      <w:r>
        <w:rPr>
          <w:i/>
        </w:rPr>
        <w:t xml:space="preserve">моційних реакцій, </w:t>
      </w:r>
      <w:r w:rsidRPr="00525B43">
        <w:rPr>
          <w:i/>
        </w:rPr>
        <w:t>схильн</w:t>
      </w:r>
      <w:r>
        <w:rPr>
          <w:i/>
        </w:rPr>
        <w:t>і</w:t>
      </w:r>
      <w:r w:rsidRPr="00525B43">
        <w:rPr>
          <w:i/>
        </w:rPr>
        <w:t>ст</w:t>
      </w:r>
      <w:r>
        <w:rPr>
          <w:i/>
        </w:rPr>
        <w:t>ь</w:t>
      </w:r>
      <w:r w:rsidRPr="00525B43">
        <w:rPr>
          <w:i/>
        </w:rPr>
        <w:t xml:space="preserve"> до делінквентної поведінки.</w:t>
      </w:r>
      <w:r>
        <w:rPr>
          <w:i/>
        </w:rPr>
        <w:t xml:space="preserve"> </w:t>
      </w:r>
      <w:r w:rsidR="007659D1">
        <w:rPr>
          <w:i/>
        </w:rPr>
        <w:t>А</w:t>
      </w:r>
      <w:r>
        <w:rPr>
          <w:i/>
        </w:rPr>
        <w:t xml:space="preserve">вторами </w:t>
      </w:r>
      <w:r w:rsidR="006F32E2">
        <w:rPr>
          <w:i/>
        </w:rPr>
        <w:t>визначені</w:t>
      </w:r>
      <w:r>
        <w:rPr>
          <w:i/>
        </w:rPr>
        <w:t xml:space="preserve"> перспективи подальших досліджень у напрямі вивчення ціннісних орієнтацій учнів з проявами поведінкових девіацій.</w:t>
      </w:r>
    </w:p>
    <w:p w:rsidR="00422FFA" w:rsidRDefault="00422FFA" w:rsidP="005E6630">
      <w:pPr>
        <w:ind w:firstLine="709"/>
        <w:rPr>
          <w:i/>
        </w:rPr>
      </w:pPr>
      <w:r>
        <w:rPr>
          <w:b/>
          <w:i/>
        </w:rPr>
        <w:t xml:space="preserve">Ключові слова: </w:t>
      </w:r>
      <w:r>
        <w:rPr>
          <w:i/>
        </w:rPr>
        <w:t>поведінка, девіантність, поведікові прорушення.</w:t>
      </w:r>
    </w:p>
    <w:p w:rsidR="00422FFA" w:rsidRDefault="00422FFA" w:rsidP="005E6630">
      <w:pPr>
        <w:ind w:firstLine="709"/>
        <w:rPr>
          <w:i/>
        </w:rPr>
      </w:pPr>
    </w:p>
    <w:p w:rsidR="00417FB5" w:rsidRDefault="00417FB5" w:rsidP="00417FB5">
      <w:pPr>
        <w:ind w:firstLine="709"/>
        <w:rPr>
          <w:i/>
        </w:rPr>
      </w:pPr>
      <w:r>
        <w:rPr>
          <w:i/>
          <w:lang w:val="en-US"/>
        </w:rPr>
        <w:t xml:space="preserve">The article under discussion presents the results of studying secondary school student’s propensity to deviant behavior. In this regard, the article articulates the problem under studies, points out the basic directions of its investigation from the points of view of different scholars, identifies the latters’ role in researching the issue, describes the methods applied in diagnosing students’ propensity to various types of deviant behavior, as well as explains the principle of processing the obtained results in accordance with the respective scales and gives respondents’ short characteristics. </w:t>
      </w:r>
    </w:p>
    <w:p w:rsidR="00417FB5" w:rsidRDefault="00417FB5" w:rsidP="00417FB5">
      <w:pPr>
        <w:ind w:firstLine="709"/>
        <w:rPr>
          <w:i/>
        </w:rPr>
      </w:pPr>
      <w:r>
        <w:rPr>
          <w:i/>
          <w:lang w:val="en-US"/>
        </w:rPr>
        <w:t>The</w:t>
      </w:r>
      <w:r w:rsidRPr="00A95CA9">
        <w:rPr>
          <w:i/>
        </w:rPr>
        <w:t xml:space="preserve"> </w:t>
      </w:r>
      <w:r>
        <w:rPr>
          <w:i/>
          <w:lang w:val="en-US"/>
        </w:rPr>
        <w:t>data</w:t>
      </w:r>
      <w:r w:rsidRPr="00A95CA9">
        <w:rPr>
          <w:i/>
        </w:rPr>
        <w:t xml:space="preserve">, </w:t>
      </w:r>
      <w:r>
        <w:rPr>
          <w:i/>
          <w:lang w:val="en-US"/>
        </w:rPr>
        <w:t>obtained</w:t>
      </w:r>
      <w:r w:rsidRPr="00A95CA9">
        <w:rPr>
          <w:i/>
        </w:rPr>
        <w:t xml:space="preserve"> </w:t>
      </w:r>
      <w:r>
        <w:rPr>
          <w:i/>
          <w:lang w:val="en-US"/>
        </w:rPr>
        <w:t>in</w:t>
      </w:r>
      <w:r w:rsidRPr="00A95CA9">
        <w:rPr>
          <w:i/>
        </w:rPr>
        <w:t xml:space="preserve"> </w:t>
      </w:r>
      <w:r>
        <w:rPr>
          <w:i/>
          <w:lang w:val="en-US"/>
        </w:rPr>
        <w:t>the</w:t>
      </w:r>
      <w:r w:rsidRPr="00A95CA9">
        <w:rPr>
          <w:i/>
        </w:rPr>
        <w:t xml:space="preserve"> </w:t>
      </w:r>
      <w:r>
        <w:rPr>
          <w:i/>
          <w:lang w:val="en-US"/>
        </w:rPr>
        <w:t>course</w:t>
      </w:r>
      <w:r w:rsidRPr="00A95CA9">
        <w:rPr>
          <w:i/>
        </w:rPr>
        <w:t xml:space="preserve"> </w:t>
      </w:r>
      <w:r>
        <w:rPr>
          <w:i/>
          <w:lang w:val="en-US"/>
        </w:rPr>
        <w:t>of</w:t>
      </w:r>
      <w:r w:rsidRPr="00A95CA9">
        <w:rPr>
          <w:i/>
        </w:rPr>
        <w:t xml:space="preserve"> </w:t>
      </w:r>
      <w:r>
        <w:rPr>
          <w:i/>
          <w:lang w:val="en-US"/>
        </w:rPr>
        <w:t>the</w:t>
      </w:r>
      <w:r w:rsidRPr="00A95CA9">
        <w:rPr>
          <w:i/>
        </w:rPr>
        <w:t xml:space="preserve"> </w:t>
      </w:r>
      <w:r>
        <w:rPr>
          <w:i/>
          <w:lang w:val="en-US"/>
        </w:rPr>
        <w:t>research</w:t>
      </w:r>
      <w:r w:rsidRPr="00A95CA9">
        <w:rPr>
          <w:i/>
        </w:rPr>
        <w:t xml:space="preserve">, </w:t>
      </w:r>
      <w:r>
        <w:rPr>
          <w:i/>
          <w:lang w:val="en-US"/>
        </w:rPr>
        <w:t>are</w:t>
      </w:r>
      <w:r w:rsidRPr="00A95CA9">
        <w:rPr>
          <w:i/>
        </w:rPr>
        <w:t xml:space="preserve"> </w:t>
      </w:r>
      <w:r>
        <w:rPr>
          <w:i/>
          <w:lang w:val="en-US"/>
        </w:rPr>
        <w:t>presented</w:t>
      </w:r>
      <w:r w:rsidRPr="00A95CA9">
        <w:rPr>
          <w:i/>
        </w:rPr>
        <w:t xml:space="preserve"> </w:t>
      </w:r>
      <w:r>
        <w:rPr>
          <w:i/>
          <w:lang w:val="en-US"/>
        </w:rPr>
        <w:t>in</w:t>
      </w:r>
      <w:r w:rsidRPr="00A95CA9">
        <w:rPr>
          <w:i/>
        </w:rPr>
        <w:t xml:space="preserve"> </w:t>
      </w:r>
      <w:r>
        <w:rPr>
          <w:i/>
          <w:lang w:val="en-US"/>
        </w:rPr>
        <w:t>compliance</w:t>
      </w:r>
      <w:r w:rsidRPr="00A95CA9">
        <w:rPr>
          <w:i/>
        </w:rPr>
        <w:t xml:space="preserve"> </w:t>
      </w:r>
      <w:r>
        <w:rPr>
          <w:i/>
          <w:lang w:val="en-US"/>
        </w:rPr>
        <w:t>with</w:t>
      </w:r>
      <w:r w:rsidRPr="00A95CA9">
        <w:rPr>
          <w:i/>
        </w:rPr>
        <w:t xml:space="preserve"> </w:t>
      </w:r>
      <w:r>
        <w:rPr>
          <w:i/>
          <w:lang w:val="en-US"/>
        </w:rPr>
        <w:t>different</w:t>
      </w:r>
      <w:r w:rsidRPr="00A95CA9">
        <w:rPr>
          <w:i/>
        </w:rPr>
        <w:t xml:space="preserve"> </w:t>
      </w:r>
      <w:r>
        <w:rPr>
          <w:i/>
          <w:lang w:val="en-US"/>
        </w:rPr>
        <w:t>methodical</w:t>
      </w:r>
      <w:r w:rsidRPr="00A95CA9">
        <w:rPr>
          <w:i/>
        </w:rPr>
        <w:t xml:space="preserve"> </w:t>
      </w:r>
      <w:r>
        <w:rPr>
          <w:i/>
          <w:lang w:val="en-US"/>
        </w:rPr>
        <w:t>scales</w:t>
      </w:r>
      <w:r w:rsidRPr="00A95CA9">
        <w:rPr>
          <w:i/>
        </w:rPr>
        <w:t xml:space="preserve">: </w:t>
      </w:r>
      <w:r>
        <w:rPr>
          <w:i/>
          <w:lang w:val="en-US"/>
        </w:rPr>
        <w:t>orientation</w:t>
      </w:r>
      <w:r w:rsidRPr="00A95CA9">
        <w:rPr>
          <w:i/>
        </w:rPr>
        <w:t xml:space="preserve"> </w:t>
      </w:r>
      <w:r>
        <w:rPr>
          <w:i/>
          <w:lang w:val="en-US"/>
        </w:rPr>
        <w:t>to</w:t>
      </w:r>
      <w:r w:rsidRPr="00A95CA9">
        <w:rPr>
          <w:i/>
        </w:rPr>
        <w:t xml:space="preserve"> </w:t>
      </w:r>
      <w:r>
        <w:rPr>
          <w:i/>
          <w:lang w:val="en-US"/>
        </w:rPr>
        <w:t>socially</w:t>
      </w:r>
      <w:r w:rsidRPr="00A95CA9">
        <w:rPr>
          <w:i/>
        </w:rPr>
        <w:t xml:space="preserve"> </w:t>
      </w:r>
      <w:r>
        <w:rPr>
          <w:i/>
          <w:lang w:val="en-US"/>
        </w:rPr>
        <w:t>desirable</w:t>
      </w:r>
      <w:r w:rsidRPr="00A95CA9">
        <w:rPr>
          <w:i/>
        </w:rPr>
        <w:t xml:space="preserve"> </w:t>
      </w:r>
      <w:r>
        <w:rPr>
          <w:i/>
          <w:lang w:val="en-US"/>
        </w:rPr>
        <w:t>answers</w:t>
      </w:r>
      <w:r w:rsidRPr="00A95CA9">
        <w:rPr>
          <w:i/>
        </w:rPr>
        <w:t xml:space="preserve">, </w:t>
      </w:r>
      <w:r>
        <w:rPr>
          <w:i/>
          <w:lang w:val="en-US"/>
        </w:rPr>
        <w:t>propensity</w:t>
      </w:r>
      <w:r w:rsidRPr="00A95CA9">
        <w:rPr>
          <w:i/>
        </w:rPr>
        <w:t xml:space="preserve"> </w:t>
      </w:r>
      <w:r>
        <w:rPr>
          <w:i/>
          <w:lang w:val="en-US"/>
        </w:rPr>
        <w:t>to</w:t>
      </w:r>
      <w:r w:rsidRPr="00A95CA9">
        <w:rPr>
          <w:i/>
        </w:rPr>
        <w:t xml:space="preserve"> </w:t>
      </w:r>
      <w:r>
        <w:rPr>
          <w:i/>
          <w:lang w:val="en-US"/>
        </w:rPr>
        <w:t>violating</w:t>
      </w:r>
      <w:r w:rsidRPr="00A95CA9">
        <w:rPr>
          <w:i/>
        </w:rPr>
        <w:t xml:space="preserve"> </w:t>
      </w:r>
      <w:r>
        <w:rPr>
          <w:i/>
          <w:lang w:val="en-US"/>
        </w:rPr>
        <w:t>norms</w:t>
      </w:r>
      <w:r w:rsidRPr="00A95CA9">
        <w:rPr>
          <w:i/>
        </w:rPr>
        <w:t xml:space="preserve"> </w:t>
      </w:r>
      <w:r>
        <w:rPr>
          <w:i/>
          <w:lang w:val="en-US"/>
        </w:rPr>
        <w:t>and</w:t>
      </w:r>
      <w:r w:rsidRPr="00A95CA9">
        <w:rPr>
          <w:i/>
        </w:rPr>
        <w:t xml:space="preserve"> </w:t>
      </w:r>
      <w:r>
        <w:rPr>
          <w:i/>
          <w:lang w:val="en-US"/>
        </w:rPr>
        <w:t>rules</w:t>
      </w:r>
      <w:r w:rsidRPr="00A95CA9">
        <w:rPr>
          <w:i/>
        </w:rPr>
        <w:t xml:space="preserve">, </w:t>
      </w:r>
      <w:r>
        <w:rPr>
          <w:i/>
          <w:lang w:val="en-US"/>
        </w:rPr>
        <w:t>propensity</w:t>
      </w:r>
      <w:r w:rsidRPr="00A95CA9">
        <w:rPr>
          <w:i/>
        </w:rPr>
        <w:t xml:space="preserve"> </w:t>
      </w:r>
      <w:r>
        <w:rPr>
          <w:i/>
          <w:lang w:val="en-US"/>
        </w:rPr>
        <w:t>to</w:t>
      </w:r>
      <w:r w:rsidRPr="00A95CA9">
        <w:rPr>
          <w:i/>
        </w:rPr>
        <w:t xml:space="preserve"> </w:t>
      </w:r>
      <w:r>
        <w:rPr>
          <w:i/>
          <w:lang w:val="en-US"/>
        </w:rPr>
        <w:t>addictive</w:t>
      </w:r>
      <w:r w:rsidRPr="00A95CA9">
        <w:rPr>
          <w:i/>
        </w:rPr>
        <w:t xml:space="preserve"> </w:t>
      </w:r>
      <w:r>
        <w:rPr>
          <w:i/>
          <w:lang w:val="en-US"/>
        </w:rPr>
        <w:t>behavior</w:t>
      </w:r>
      <w:r w:rsidRPr="00A95CA9">
        <w:rPr>
          <w:i/>
        </w:rPr>
        <w:t xml:space="preserve">, </w:t>
      </w:r>
      <w:r>
        <w:rPr>
          <w:i/>
          <w:lang w:val="en-US"/>
        </w:rPr>
        <w:t>predisposition</w:t>
      </w:r>
      <w:r w:rsidRPr="00A95CA9">
        <w:rPr>
          <w:i/>
        </w:rPr>
        <w:t xml:space="preserve"> </w:t>
      </w:r>
      <w:r>
        <w:rPr>
          <w:i/>
          <w:lang w:val="en-US"/>
        </w:rPr>
        <w:t>to</w:t>
      </w:r>
      <w:r w:rsidRPr="00A95CA9">
        <w:rPr>
          <w:i/>
        </w:rPr>
        <w:t xml:space="preserve"> </w:t>
      </w:r>
      <w:r>
        <w:rPr>
          <w:i/>
          <w:lang w:val="en-US"/>
        </w:rPr>
        <w:t>self</w:t>
      </w:r>
      <w:r w:rsidRPr="00A95CA9">
        <w:rPr>
          <w:i/>
        </w:rPr>
        <w:t>-</w:t>
      </w:r>
      <w:r>
        <w:rPr>
          <w:i/>
          <w:lang w:val="en-US"/>
        </w:rPr>
        <w:t>damage</w:t>
      </w:r>
      <w:r w:rsidRPr="00A95CA9">
        <w:rPr>
          <w:i/>
        </w:rPr>
        <w:t xml:space="preserve"> </w:t>
      </w:r>
      <w:r>
        <w:rPr>
          <w:i/>
          <w:lang w:val="en-US"/>
        </w:rPr>
        <w:t>and</w:t>
      </w:r>
      <w:r w:rsidRPr="00A95CA9">
        <w:rPr>
          <w:i/>
        </w:rPr>
        <w:t xml:space="preserve"> </w:t>
      </w:r>
      <w:r>
        <w:rPr>
          <w:i/>
          <w:lang w:val="en-US"/>
        </w:rPr>
        <w:t>self</w:t>
      </w:r>
      <w:r w:rsidRPr="00A95CA9">
        <w:rPr>
          <w:i/>
        </w:rPr>
        <w:t>-</w:t>
      </w:r>
      <w:r>
        <w:rPr>
          <w:i/>
          <w:lang w:val="en-US"/>
        </w:rPr>
        <w:t>destruction</w:t>
      </w:r>
      <w:r w:rsidRPr="00A95CA9">
        <w:rPr>
          <w:i/>
        </w:rPr>
        <w:t xml:space="preserve">, </w:t>
      </w:r>
      <w:r>
        <w:rPr>
          <w:i/>
          <w:lang w:val="en-US"/>
        </w:rPr>
        <w:t xml:space="preserve">predisposition to aggression and violence, will control of emotional reactions, propensity to delinquent conduct. What is more, based on the principle of comparative analysis, the results of the research have been classified </w:t>
      </w:r>
      <w:r>
        <w:rPr>
          <w:i/>
          <w:lang w:val="en-US"/>
        </w:rPr>
        <w:lastRenderedPageBreak/>
        <w:t>with regard to the type of the grade the students belong to and their sex. In this way the most typical types of students’ deviations have been determined. Conclusions of the paper contain the percentage of the students with propensity to deviant behavior from the overall number of the respondents; show, in which grades they are mostly concentrated; describe the most common manifestations of deviations among the students of the 5</w:t>
      </w:r>
      <w:r w:rsidRPr="004C17E5">
        <w:rPr>
          <w:i/>
          <w:vertAlign w:val="superscript"/>
          <w:lang w:val="en-US"/>
        </w:rPr>
        <w:t>th</w:t>
      </w:r>
      <w:r>
        <w:rPr>
          <w:i/>
          <w:lang w:val="en-US"/>
        </w:rPr>
        <w:t xml:space="preserve"> – 10</w:t>
      </w:r>
      <w:r w:rsidRPr="004C17E5">
        <w:rPr>
          <w:i/>
          <w:vertAlign w:val="superscript"/>
          <w:lang w:val="en-US"/>
        </w:rPr>
        <w:t>th</w:t>
      </w:r>
      <w:r>
        <w:rPr>
          <w:i/>
          <w:lang w:val="en-US"/>
        </w:rPr>
        <w:t xml:space="preserve"> grades; explain the peculiarities of various types of deviations in accordance with the following scales: orientation</w:t>
      </w:r>
      <w:r w:rsidRPr="00A95CA9">
        <w:rPr>
          <w:i/>
        </w:rPr>
        <w:t xml:space="preserve"> </w:t>
      </w:r>
      <w:r>
        <w:rPr>
          <w:i/>
          <w:lang w:val="en-US"/>
        </w:rPr>
        <w:t>to</w:t>
      </w:r>
      <w:r w:rsidRPr="00A95CA9">
        <w:rPr>
          <w:i/>
        </w:rPr>
        <w:t xml:space="preserve"> </w:t>
      </w:r>
      <w:r>
        <w:rPr>
          <w:i/>
          <w:lang w:val="en-US"/>
        </w:rPr>
        <w:t>socially</w:t>
      </w:r>
      <w:r w:rsidRPr="00A95CA9">
        <w:rPr>
          <w:i/>
        </w:rPr>
        <w:t xml:space="preserve"> </w:t>
      </w:r>
      <w:r>
        <w:rPr>
          <w:i/>
          <w:lang w:val="en-US"/>
        </w:rPr>
        <w:t>desirable</w:t>
      </w:r>
      <w:r w:rsidRPr="00A95CA9">
        <w:rPr>
          <w:i/>
        </w:rPr>
        <w:t xml:space="preserve"> </w:t>
      </w:r>
      <w:r>
        <w:rPr>
          <w:i/>
          <w:lang w:val="en-US"/>
        </w:rPr>
        <w:t>answers</w:t>
      </w:r>
      <w:r w:rsidRPr="00A95CA9">
        <w:rPr>
          <w:i/>
        </w:rPr>
        <w:t xml:space="preserve">, </w:t>
      </w:r>
      <w:r>
        <w:rPr>
          <w:i/>
          <w:lang w:val="en-US"/>
        </w:rPr>
        <w:t>propensity</w:t>
      </w:r>
      <w:r w:rsidRPr="00A95CA9">
        <w:rPr>
          <w:i/>
        </w:rPr>
        <w:t xml:space="preserve"> </w:t>
      </w:r>
      <w:r>
        <w:rPr>
          <w:i/>
          <w:lang w:val="en-US"/>
        </w:rPr>
        <w:t>to</w:t>
      </w:r>
      <w:r w:rsidRPr="00A95CA9">
        <w:rPr>
          <w:i/>
        </w:rPr>
        <w:t xml:space="preserve"> </w:t>
      </w:r>
      <w:r>
        <w:rPr>
          <w:i/>
          <w:lang w:val="en-US"/>
        </w:rPr>
        <w:t>violating</w:t>
      </w:r>
      <w:r w:rsidRPr="00A95CA9">
        <w:rPr>
          <w:i/>
        </w:rPr>
        <w:t xml:space="preserve"> </w:t>
      </w:r>
      <w:r>
        <w:rPr>
          <w:i/>
          <w:lang w:val="en-US"/>
        </w:rPr>
        <w:t>norms</w:t>
      </w:r>
      <w:r w:rsidRPr="00A95CA9">
        <w:rPr>
          <w:i/>
        </w:rPr>
        <w:t xml:space="preserve"> </w:t>
      </w:r>
      <w:r>
        <w:rPr>
          <w:i/>
          <w:lang w:val="en-US"/>
        </w:rPr>
        <w:t>and</w:t>
      </w:r>
      <w:r w:rsidRPr="00A95CA9">
        <w:rPr>
          <w:i/>
        </w:rPr>
        <w:t xml:space="preserve"> </w:t>
      </w:r>
      <w:r>
        <w:rPr>
          <w:i/>
          <w:lang w:val="en-US"/>
        </w:rPr>
        <w:t>rules</w:t>
      </w:r>
      <w:r w:rsidRPr="00A95CA9">
        <w:rPr>
          <w:i/>
        </w:rPr>
        <w:t xml:space="preserve">, </w:t>
      </w:r>
      <w:r>
        <w:rPr>
          <w:i/>
          <w:lang w:val="en-US"/>
        </w:rPr>
        <w:t>propensity</w:t>
      </w:r>
      <w:r w:rsidRPr="00A95CA9">
        <w:rPr>
          <w:i/>
        </w:rPr>
        <w:t xml:space="preserve"> </w:t>
      </w:r>
      <w:r>
        <w:rPr>
          <w:i/>
          <w:lang w:val="en-US"/>
        </w:rPr>
        <w:t>to</w:t>
      </w:r>
      <w:r w:rsidRPr="00A95CA9">
        <w:rPr>
          <w:i/>
        </w:rPr>
        <w:t xml:space="preserve"> </w:t>
      </w:r>
      <w:r>
        <w:rPr>
          <w:i/>
          <w:lang w:val="en-US"/>
        </w:rPr>
        <w:t>addictive</w:t>
      </w:r>
      <w:r w:rsidRPr="00A95CA9">
        <w:rPr>
          <w:i/>
        </w:rPr>
        <w:t xml:space="preserve"> </w:t>
      </w:r>
      <w:r>
        <w:rPr>
          <w:i/>
          <w:lang w:val="en-US"/>
        </w:rPr>
        <w:t>behavior</w:t>
      </w:r>
      <w:r w:rsidRPr="00A95CA9">
        <w:rPr>
          <w:i/>
        </w:rPr>
        <w:t xml:space="preserve">, </w:t>
      </w:r>
      <w:r>
        <w:rPr>
          <w:i/>
          <w:lang w:val="en-US"/>
        </w:rPr>
        <w:t>predisposition</w:t>
      </w:r>
      <w:r w:rsidRPr="00A95CA9">
        <w:rPr>
          <w:i/>
        </w:rPr>
        <w:t xml:space="preserve"> </w:t>
      </w:r>
      <w:r>
        <w:rPr>
          <w:i/>
          <w:lang w:val="en-US"/>
        </w:rPr>
        <w:t>to</w:t>
      </w:r>
      <w:r w:rsidRPr="00A95CA9">
        <w:rPr>
          <w:i/>
        </w:rPr>
        <w:t xml:space="preserve"> </w:t>
      </w:r>
      <w:r>
        <w:rPr>
          <w:i/>
          <w:lang w:val="en-US"/>
        </w:rPr>
        <w:t>self</w:t>
      </w:r>
      <w:r w:rsidRPr="00A95CA9">
        <w:rPr>
          <w:i/>
        </w:rPr>
        <w:t>-</w:t>
      </w:r>
      <w:r>
        <w:rPr>
          <w:i/>
          <w:lang w:val="en-US"/>
        </w:rPr>
        <w:t>damage</w:t>
      </w:r>
      <w:r w:rsidRPr="00A95CA9">
        <w:rPr>
          <w:i/>
        </w:rPr>
        <w:t xml:space="preserve"> </w:t>
      </w:r>
      <w:r>
        <w:rPr>
          <w:i/>
          <w:lang w:val="en-US"/>
        </w:rPr>
        <w:t>and</w:t>
      </w:r>
      <w:r w:rsidRPr="00A95CA9">
        <w:rPr>
          <w:i/>
        </w:rPr>
        <w:t xml:space="preserve"> </w:t>
      </w:r>
      <w:r>
        <w:rPr>
          <w:i/>
          <w:lang w:val="en-US"/>
        </w:rPr>
        <w:t>self</w:t>
      </w:r>
      <w:r w:rsidRPr="00A95CA9">
        <w:rPr>
          <w:i/>
        </w:rPr>
        <w:t>-</w:t>
      </w:r>
      <w:r>
        <w:rPr>
          <w:i/>
          <w:lang w:val="en-US"/>
        </w:rPr>
        <w:t>destruction</w:t>
      </w:r>
      <w:r w:rsidRPr="00A95CA9">
        <w:rPr>
          <w:i/>
        </w:rPr>
        <w:t xml:space="preserve">, </w:t>
      </w:r>
      <w:r>
        <w:rPr>
          <w:i/>
          <w:lang w:val="en-US"/>
        </w:rPr>
        <w:t xml:space="preserve">predisposition to aggression and violence, will control of emotional reactions, propensity to delinquent conduct. In addition, the authors of the article have outlined the prospects of further investigation of the issue under studies in the aspect of value preferences \among the students with behavioral deviations. </w:t>
      </w:r>
    </w:p>
    <w:p w:rsidR="00CB5EBF" w:rsidRPr="00CB5EBF" w:rsidRDefault="00CB5EBF" w:rsidP="00417FB5">
      <w:pPr>
        <w:ind w:firstLine="709"/>
        <w:rPr>
          <w:i/>
          <w:lang w:val="en-US"/>
        </w:rPr>
      </w:pPr>
      <w:r w:rsidRPr="00EC1380">
        <w:rPr>
          <w:b/>
          <w:i/>
          <w:lang w:val="en-US"/>
        </w:rPr>
        <w:t>Key words:</w:t>
      </w:r>
      <w:r>
        <w:rPr>
          <w:i/>
          <w:lang w:val="en-US"/>
        </w:rPr>
        <w:t xml:space="preserve"> behavior, d</w:t>
      </w:r>
      <w:r w:rsidR="00EC1380">
        <w:rPr>
          <w:i/>
          <w:lang w:val="en-US"/>
        </w:rPr>
        <w:t>eviation</w:t>
      </w:r>
      <w:r>
        <w:rPr>
          <w:i/>
          <w:lang w:val="en-US"/>
        </w:rPr>
        <w:t xml:space="preserve">, behavior </w:t>
      </w:r>
      <w:r w:rsidR="00EC1380">
        <w:rPr>
          <w:i/>
          <w:lang w:val="en-US"/>
        </w:rPr>
        <w:t>disturbance</w:t>
      </w:r>
    </w:p>
    <w:p w:rsidR="00096763" w:rsidRPr="005E6630" w:rsidRDefault="00096763" w:rsidP="00096763">
      <w:pPr>
        <w:pStyle w:val="1"/>
        <w:spacing w:before="0" w:beforeAutospacing="0" w:after="0"/>
        <w:ind w:firstLine="709"/>
        <w:rPr>
          <w:rFonts w:ascii="Times New Roman" w:hAnsi="Times New Roman" w:cs="Times New Roman"/>
          <w:sz w:val="28"/>
          <w:szCs w:val="28"/>
          <w:lang w:val="uk-UA"/>
        </w:rPr>
      </w:pPr>
    </w:p>
    <w:p w:rsidR="00096763" w:rsidRPr="005266B9" w:rsidRDefault="005E6630" w:rsidP="00096763">
      <w:pPr>
        <w:pStyle w:val="1"/>
        <w:spacing w:before="0" w:beforeAutospacing="0" w:after="0"/>
        <w:ind w:firstLine="709"/>
        <w:rPr>
          <w:rFonts w:ascii="Times New Roman" w:hAnsi="Times New Roman" w:cs="Times New Roman"/>
          <w:b w:val="0"/>
          <w:sz w:val="28"/>
          <w:szCs w:val="28"/>
        </w:rPr>
      </w:pPr>
      <w:r>
        <w:rPr>
          <w:rFonts w:ascii="Times New Roman" w:hAnsi="Times New Roman" w:cs="Times New Roman"/>
          <w:color w:val="000000" w:themeColor="text1"/>
          <w:sz w:val="28"/>
          <w:szCs w:val="28"/>
          <w:lang w:val="uk-UA"/>
        </w:rPr>
        <w:t>Постановка проблеми</w:t>
      </w:r>
      <w:r w:rsidRPr="005E6630">
        <w:rPr>
          <w:rFonts w:ascii="Times New Roman" w:hAnsi="Times New Roman" w:cs="Times New Roman"/>
          <w:color w:val="000000" w:themeColor="text1"/>
          <w:sz w:val="28"/>
          <w:szCs w:val="28"/>
          <w:lang w:val="uk-UA"/>
        </w:rPr>
        <w:t>.</w:t>
      </w:r>
      <w:r>
        <w:rPr>
          <w:rFonts w:ascii="Times New Roman" w:hAnsi="Times New Roman" w:cs="Times New Roman"/>
          <w:b w:val="0"/>
          <w:color w:val="000000" w:themeColor="text1"/>
          <w:sz w:val="28"/>
          <w:szCs w:val="28"/>
          <w:lang w:val="uk-UA"/>
        </w:rPr>
        <w:t xml:space="preserve"> </w:t>
      </w:r>
      <w:r w:rsidR="00096763" w:rsidRPr="005266B9">
        <w:rPr>
          <w:rFonts w:ascii="Times New Roman" w:hAnsi="Times New Roman" w:cs="Times New Roman"/>
          <w:b w:val="0"/>
          <w:sz w:val="28"/>
          <w:szCs w:val="28"/>
        </w:rPr>
        <w:t xml:space="preserve">Девіантні прояви у поведінці сьогодні не представляють собою щось унікальне, нове і маловивчене. Проте саме їх дослідження набуває особливої актуальності у наш час, оскільки він є досить переломним періодом функціонування суспільства. Це обумовлене тим, що сьогодні взаємодія особи, сім’ї і соціуму відбувається в умовах перетворення суспільних відносин. </w:t>
      </w:r>
      <w:proofErr w:type="gramStart"/>
      <w:r w:rsidR="00096763" w:rsidRPr="005266B9">
        <w:rPr>
          <w:rFonts w:ascii="Times New Roman" w:hAnsi="Times New Roman" w:cs="Times New Roman"/>
          <w:b w:val="0"/>
          <w:sz w:val="28"/>
          <w:szCs w:val="28"/>
        </w:rPr>
        <w:t xml:space="preserve">Ці перетворення викликають як позитивні, так, на жаль, і негативні зміни в різних сферах соціального життя, а також викликають виникнення різного роду поведінкових порушень, особливо у середовищі </w:t>
      </w:r>
      <w:r w:rsidR="00C2478F">
        <w:rPr>
          <w:rFonts w:ascii="Times New Roman" w:hAnsi="Times New Roman" w:cs="Times New Roman"/>
          <w:b w:val="0"/>
          <w:sz w:val="28"/>
          <w:szCs w:val="28"/>
          <w:lang w:val="uk-UA"/>
        </w:rPr>
        <w:t>учнів</w:t>
      </w:r>
      <w:r w:rsidR="00096763" w:rsidRPr="005266B9">
        <w:rPr>
          <w:rFonts w:ascii="Times New Roman" w:hAnsi="Times New Roman" w:cs="Times New Roman"/>
          <w:b w:val="0"/>
          <w:sz w:val="28"/>
          <w:szCs w:val="28"/>
        </w:rPr>
        <w:t xml:space="preserve">. Такі негативні тенденції ставлять перед наукою завдання, мета яких – вивчення природи та закономірностей прояву девіантної поведінки та її суб’єктів – осіб і груп. </w:t>
      </w:r>
      <w:proofErr w:type="gramEnd"/>
    </w:p>
    <w:p w:rsidR="00096763" w:rsidRPr="00B14ACD" w:rsidRDefault="005E6630" w:rsidP="00096763">
      <w:pPr>
        <w:pStyle w:val="1"/>
        <w:spacing w:before="0" w:beforeAutospacing="0" w:after="0"/>
        <w:ind w:firstLine="709"/>
        <w:rPr>
          <w:rFonts w:ascii="Times New Roman" w:hAnsi="Times New Roman" w:cs="Times New Roman"/>
          <w:b w:val="0"/>
          <w:color w:val="000000" w:themeColor="text1"/>
          <w:sz w:val="28"/>
          <w:szCs w:val="28"/>
        </w:rPr>
      </w:pPr>
      <w:r>
        <w:rPr>
          <w:rFonts w:ascii="Times New Roman" w:hAnsi="Times New Roman" w:cs="Times New Roman"/>
          <w:sz w:val="28"/>
          <w:szCs w:val="28"/>
          <w:lang w:val="uk-UA"/>
        </w:rPr>
        <w:t xml:space="preserve">Аналіз досліджень і публікацій. </w:t>
      </w:r>
      <w:r w:rsidR="00096763" w:rsidRPr="005266B9">
        <w:rPr>
          <w:rFonts w:ascii="Times New Roman" w:hAnsi="Times New Roman" w:cs="Times New Roman"/>
          <w:b w:val="0"/>
          <w:sz w:val="28"/>
          <w:szCs w:val="28"/>
        </w:rPr>
        <w:t xml:space="preserve">Питання девіантної поведінки підлітків доволі активно вивчались. </w:t>
      </w:r>
      <w:r w:rsidR="00417FB5">
        <w:rPr>
          <w:rFonts w:ascii="Times New Roman" w:hAnsi="Times New Roman" w:cs="Times New Roman"/>
          <w:b w:val="0"/>
          <w:sz w:val="28"/>
          <w:szCs w:val="28"/>
          <w:lang w:val="uk-UA"/>
        </w:rPr>
        <w:t>У</w:t>
      </w:r>
      <w:r w:rsidR="00096763" w:rsidRPr="005266B9">
        <w:rPr>
          <w:rFonts w:ascii="Times New Roman" w:hAnsi="Times New Roman" w:cs="Times New Roman"/>
          <w:b w:val="0"/>
          <w:sz w:val="28"/>
          <w:szCs w:val="28"/>
        </w:rPr>
        <w:t xml:space="preserve"> цьому плані виокремились кілька напрямів. </w:t>
      </w:r>
      <w:proofErr w:type="gramStart"/>
      <w:r w:rsidR="00096763" w:rsidRPr="005266B9">
        <w:rPr>
          <w:rFonts w:ascii="Times New Roman" w:hAnsi="Times New Roman" w:cs="Times New Roman"/>
          <w:b w:val="0"/>
          <w:sz w:val="28"/>
          <w:szCs w:val="28"/>
        </w:rPr>
        <w:t xml:space="preserve">Так, сутність і механізми соціальної дезадаптації та неуспішності соціалізації </w:t>
      </w:r>
      <w:r w:rsidR="00096763" w:rsidRPr="005266B9">
        <w:rPr>
          <w:rFonts w:ascii="Times New Roman" w:hAnsi="Times New Roman" w:cs="Times New Roman"/>
          <w:b w:val="0"/>
          <w:sz w:val="28"/>
          <w:szCs w:val="28"/>
        </w:rPr>
        <w:lastRenderedPageBreak/>
        <w:t xml:space="preserve">вивчались такими дослідниками, як Г. Аванесов, Б. Алмазов, С. Бєлічева, В. Бочарова, </w:t>
      </w:r>
      <w:r w:rsidR="00417FB5">
        <w:rPr>
          <w:rFonts w:ascii="Times New Roman" w:hAnsi="Times New Roman" w:cs="Times New Roman"/>
          <w:b w:val="0"/>
          <w:sz w:val="28"/>
          <w:szCs w:val="28"/>
          <w:lang w:val="uk-UA"/>
        </w:rPr>
        <w:t xml:space="preserve">Р. Вайнола, Н. Гавриш, Г. Лактіонова, Л. Міщик, В. Мудрик, В. Оржеховська, В. Плешаков, </w:t>
      </w:r>
      <w:r w:rsidR="00096763" w:rsidRPr="005266B9">
        <w:rPr>
          <w:rFonts w:ascii="Times New Roman" w:hAnsi="Times New Roman" w:cs="Times New Roman"/>
          <w:b w:val="0"/>
          <w:sz w:val="28"/>
          <w:szCs w:val="28"/>
        </w:rPr>
        <w:t>А. Суханов та ін. Сутності і закономірностям виховання підлітків з проявами дев</w:t>
      </w:r>
      <w:proofErr w:type="gramEnd"/>
      <w:r w:rsidR="00096763" w:rsidRPr="005266B9">
        <w:rPr>
          <w:rFonts w:ascii="Times New Roman" w:hAnsi="Times New Roman" w:cs="Times New Roman"/>
          <w:b w:val="0"/>
          <w:sz w:val="28"/>
          <w:szCs w:val="28"/>
        </w:rPr>
        <w:t>і</w:t>
      </w:r>
      <w:proofErr w:type="gramStart"/>
      <w:r w:rsidR="00096763" w:rsidRPr="005266B9">
        <w:rPr>
          <w:rFonts w:ascii="Times New Roman" w:hAnsi="Times New Roman" w:cs="Times New Roman"/>
          <w:b w:val="0"/>
          <w:sz w:val="28"/>
          <w:szCs w:val="28"/>
        </w:rPr>
        <w:t xml:space="preserve">антної поведінки присвячені роботи </w:t>
      </w:r>
      <w:r w:rsidR="00CB5EBF">
        <w:rPr>
          <w:rFonts w:ascii="Times New Roman" w:hAnsi="Times New Roman" w:cs="Times New Roman"/>
          <w:b w:val="0"/>
          <w:sz w:val="28"/>
          <w:szCs w:val="28"/>
          <w:lang w:val="uk-UA"/>
        </w:rPr>
        <w:t xml:space="preserve">М. Алемаскіна, </w:t>
      </w:r>
      <w:r w:rsidR="00096763" w:rsidRPr="005266B9">
        <w:rPr>
          <w:rFonts w:ascii="Times New Roman" w:hAnsi="Times New Roman" w:cs="Times New Roman"/>
          <w:b w:val="0"/>
          <w:sz w:val="28"/>
          <w:szCs w:val="28"/>
        </w:rPr>
        <w:t xml:space="preserve">А. Бєлкіна, </w:t>
      </w:r>
      <w:r w:rsidR="00CB5EBF">
        <w:rPr>
          <w:rFonts w:ascii="Times New Roman" w:hAnsi="Times New Roman" w:cs="Times New Roman"/>
          <w:b w:val="0"/>
          <w:sz w:val="28"/>
          <w:szCs w:val="28"/>
          <w:lang w:val="uk-UA"/>
        </w:rPr>
        <w:t xml:space="preserve">І. Запорожан, </w:t>
      </w:r>
      <w:r w:rsidR="00CB5EBF">
        <w:rPr>
          <w:rFonts w:ascii="Times New Roman" w:hAnsi="Times New Roman" w:cs="Times New Roman"/>
          <w:b w:val="0"/>
          <w:sz w:val="28"/>
          <w:szCs w:val="28"/>
        </w:rPr>
        <w:t xml:space="preserve">Л. Зюбіна, В. Крутецького, </w:t>
      </w:r>
      <w:r w:rsidR="00CB5EBF">
        <w:rPr>
          <w:rFonts w:ascii="Times New Roman" w:hAnsi="Times New Roman" w:cs="Times New Roman"/>
          <w:b w:val="0"/>
          <w:sz w:val="28"/>
          <w:szCs w:val="28"/>
          <w:lang w:val="uk-UA"/>
        </w:rPr>
        <w:t xml:space="preserve">Р. Овчарова, </w:t>
      </w:r>
      <w:r w:rsidR="00CB5EBF">
        <w:rPr>
          <w:rFonts w:ascii="Times New Roman" w:hAnsi="Times New Roman" w:cs="Times New Roman"/>
          <w:b w:val="0"/>
          <w:sz w:val="28"/>
          <w:szCs w:val="28"/>
        </w:rPr>
        <w:t>В.</w:t>
      </w:r>
      <w:r w:rsidR="00CB5EBF">
        <w:rPr>
          <w:rFonts w:ascii="Times New Roman" w:hAnsi="Times New Roman" w:cs="Times New Roman"/>
          <w:b w:val="0"/>
          <w:sz w:val="28"/>
          <w:szCs w:val="28"/>
          <w:lang w:val="uk-UA"/>
        </w:rPr>
        <w:t> </w:t>
      </w:r>
      <w:r w:rsidR="00096763" w:rsidRPr="005266B9">
        <w:rPr>
          <w:rFonts w:ascii="Times New Roman" w:hAnsi="Times New Roman" w:cs="Times New Roman"/>
          <w:b w:val="0"/>
          <w:sz w:val="28"/>
          <w:szCs w:val="28"/>
        </w:rPr>
        <w:t xml:space="preserve">Шевчука та ін. Вивчення соціально-педагогічних чинників виникнення порушень у поведінці здійснювали Б. Алмазов, Р. Дабагян, </w:t>
      </w:r>
      <w:r w:rsidR="00CB5EBF">
        <w:rPr>
          <w:rFonts w:ascii="Times New Roman" w:hAnsi="Times New Roman" w:cs="Times New Roman"/>
          <w:b w:val="0"/>
          <w:sz w:val="28"/>
          <w:szCs w:val="28"/>
          <w:lang w:val="uk-UA"/>
        </w:rPr>
        <w:t xml:space="preserve">Ц. Короленко, </w:t>
      </w:r>
      <w:r w:rsidR="00096763" w:rsidRPr="00800F95">
        <w:rPr>
          <w:rFonts w:ascii="Times New Roman" w:hAnsi="Times New Roman" w:cs="Times New Roman"/>
          <w:b w:val="0"/>
          <w:color w:val="000000" w:themeColor="text1"/>
          <w:sz w:val="28"/>
          <w:szCs w:val="28"/>
        </w:rPr>
        <w:t>Е. Костяшкин, Г. Медведєв та ін.</w:t>
      </w:r>
      <w:r w:rsidR="00096763" w:rsidRPr="00CB5EBF">
        <w:rPr>
          <w:rFonts w:ascii="Times New Roman" w:hAnsi="Times New Roman" w:cs="Times New Roman"/>
          <w:b w:val="0"/>
          <w:color w:val="FF0000"/>
          <w:sz w:val="28"/>
          <w:szCs w:val="28"/>
        </w:rPr>
        <w:t xml:space="preserve"> </w:t>
      </w:r>
      <w:r w:rsidR="00096763" w:rsidRPr="00B14ACD">
        <w:rPr>
          <w:rFonts w:ascii="Times New Roman" w:hAnsi="Times New Roman" w:cs="Times New Roman"/>
          <w:b w:val="0"/>
          <w:color w:val="000000" w:themeColor="text1"/>
          <w:sz w:val="28"/>
          <w:szCs w:val="28"/>
        </w:rPr>
        <w:t>Питанням попередження поведінковим відхиленням у підлітк</w:t>
      </w:r>
      <w:proofErr w:type="gramEnd"/>
      <w:r w:rsidR="00096763" w:rsidRPr="00B14ACD">
        <w:rPr>
          <w:rFonts w:ascii="Times New Roman" w:hAnsi="Times New Roman" w:cs="Times New Roman"/>
          <w:b w:val="0"/>
          <w:color w:val="000000" w:themeColor="text1"/>
          <w:sz w:val="28"/>
          <w:szCs w:val="28"/>
        </w:rPr>
        <w:t>і</w:t>
      </w:r>
      <w:proofErr w:type="gramStart"/>
      <w:r w:rsidR="00096763" w:rsidRPr="00B14ACD">
        <w:rPr>
          <w:rFonts w:ascii="Times New Roman" w:hAnsi="Times New Roman" w:cs="Times New Roman"/>
          <w:b w:val="0"/>
          <w:color w:val="000000" w:themeColor="text1"/>
          <w:sz w:val="28"/>
          <w:szCs w:val="28"/>
        </w:rPr>
        <w:t xml:space="preserve">в надавалась увага з боку таких науковців, як Є. Антипова, В. Гуров, І. Козубовська, Ю. Юричка та ін. Перевихованням підлітків з девіаціями у поведінці надавалась увага з боку </w:t>
      </w:r>
      <w:r w:rsidR="00800F95" w:rsidRPr="00B14ACD">
        <w:rPr>
          <w:rFonts w:ascii="Times New Roman" w:hAnsi="Times New Roman" w:cs="Times New Roman"/>
          <w:b w:val="0"/>
          <w:color w:val="000000" w:themeColor="text1"/>
          <w:sz w:val="28"/>
          <w:szCs w:val="28"/>
          <w:lang w:val="uk-UA"/>
        </w:rPr>
        <w:t xml:space="preserve">Л. Вольнової, </w:t>
      </w:r>
      <w:r w:rsidR="00096763" w:rsidRPr="00B14ACD">
        <w:rPr>
          <w:rFonts w:ascii="Times New Roman" w:hAnsi="Times New Roman" w:cs="Times New Roman"/>
          <w:b w:val="0"/>
          <w:color w:val="000000" w:themeColor="text1"/>
          <w:sz w:val="28"/>
          <w:szCs w:val="28"/>
        </w:rPr>
        <w:t xml:space="preserve">В. Деєва, </w:t>
      </w:r>
      <w:r w:rsidR="00800F95" w:rsidRPr="00B14ACD">
        <w:rPr>
          <w:rFonts w:ascii="Times New Roman" w:hAnsi="Times New Roman" w:cs="Times New Roman"/>
          <w:b w:val="0"/>
          <w:color w:val="000000" w:themeColor="text1"/>
          <w:sz w:val="28"/>
          <w:szCs w:val="28"/>
        </w:rPr>
        <w:t>Е. Змановської</w:t>
      </w:r>
      <w:r w:rsidR="00800F95" w:rsidRPr="00B14ACD">
        <w:rPr>
          <w:rFonts w:ascii="Times New Roman" w:hAnsi="Times New Roman" w:cs="Times New Roman"/>
          <w:b w:val="0"/>
          <w:color w:val="000000" w:themeColor="text1"/>
          <w:sz w:val="28"/>
          <w:szCs w:val="28"/>
          <w:lang w:val="uk-UA"/>
        </w:rPr>
        <w:t>,</w:t>
      </w:r>
      <w:r w:rsidR="00800F95" w:rsidRPr="00B14ACD">
        <w:rPr>
          <w:color w:val="000000" w:themeColor="text1"/>
          <w:lang w:val="uk-UA"/>
        </w:rPr>
        <w:t xml:space="preserve"> </w:t>
      </w:r>
      <w:r w:rsidR="00096763" w:rsidRPr="00B14ACD">
        <w:rPr>
          <w:rFonts w:ascii="Times New Roman" w:hAnsi="Times New Roman" w:cs="Times New Roman"/>
          <w:b w:val="0"/>
          <w:color w:val="000000" w:themeColor="text1"/>
          <w:sz w:val="28"/>
          <w:szCs w:val="28"/>
        </w:rPr>
        <w:t xml:space="preserve">В. Литвинкова, </w:t>
      </w:r>
      <w:r w:rsidR="00800F95" w:rsidRPr="00B14ACD">
        <w:rPr>
          <w:rFonts w:ascii="Times New Roman" w:hAnsi="Times New Roman" w:cs="Times New Roman"/>
          <w:b w:val="0"/>
          <w:color w:val="000000" w:themeColor="text1"/>
          <w:sz w:val="28"/>
          <w:szCs w:val="28"/>
        </w:rPr>
        <w:t>О. Пилипенка</w:t>
      </w:r>
      <w:r w:rsidR="00800F95" w:rsidRPr="00B14ACD">
        <w:rPr>
          <w:rFonts w:ascii="Times New Roman" w:hAnsi="Times New Roman" w:cs="Times New Roman"/>
          <w:b w:val="0"/>
          <w:color w:val="000000" w:themeColor="text1"/>
          <w:sz w:val="28"/>
          <w:szCs w:val="28"/>
          <w:lang w:val="uk-UA"/>
        </w:rPr>
        <w:t>,</w:t>
      </w:r>
      <w:r w:rsidR="00800F95" w:rsidRPr="00B14ACD">
        <w:rPr>
          <w:color w:val="000000" w:themeColor="text1"/>
          <w:lang w:val="uk-UA"/>
        </w:rPr>
        <w:t xml:space="preserve"> </w:t>
      </w:r>
      <w:r w:rsidR="00096763" w:rsidRPr="00B14ACD">
        <w:rPr>
          <w:rFonts w:ascii="Times New Roman" w:hAnsi="Times New Roman" w:cs="Times New Roman"/>
          <w:b w:val="0"/>
          <w:color w:val="000000" w:themeColor="text1"/>
          <w:sz w:val="28"/>
          <w:szCs w:val="28"/>
        </w:rPr>
        <w:t xml:space="preserve">М. Стурової, </w:t>
      </w:r>
      <w:r w:rsidR="00800F95" w:rsidRPr="00B14ACD">
        <w:rPr>
          <w:rFonts w:ascii="Times New Roman" w:hAnsi="Times New Roman" w:cs="Times New Roman"/>
          <w:b w:val="0"/>
          <w:color w:val="000000" w:themeColor="text1"/>
          <w:sz w:val="28"/>
          <w:szCs w:val="28"/>
        </w:rPr>
        <w:t>Т.</w:t>
      </w:r>
      <w:r w:rsidR="00800F95" w:rsidRPr="00B14ACD">
        <w:rPr>
          <w:rFonts w:ascii="Times New Roman" w:hAnsi="Times New Roman" w:cs="Times New Roman"/>
          <w:b w:val="0"/>
          <w:color w:val="000000" w:themeColor="text1"/>
          <w:sz w:val="28"/>
          <w:szCs w:val="28"/>
          <w:lang w:val="uk-UA"/>
        </w:rPr>
        <w:t> </w:t>
      </w:r>
      <w:r w:rsidR="00800F95" w:rsidRPr="00B14ACD">
        <w:rPr>
          <w:rFonts w:ascii="Times New Roman" w:hAnsi="Times New Roman" w:cs="Times New Roman"/>
          <w:b w:val="0"/>
          <w:color w:val="000000" w:themeColor="text1"/>
          <w:sz w:val="28"/>
          <w:szCs w:val="28"/>
        </w:rPr>
        <w:t>Титаренко</w:t>
      </w:r>
      <w:r w:rsidR="00800F95" w:rsidRPr="00B14ACD">
        <w:rPr>
          <w:rFonts w:ascii="Times New Roman" w:hAnsi="Times New Roman" w:cs="Times New Roman"/>
          <w:b w:val="0"/>
          <w:color w:val="000000" w:themeColor="text1"/>
          <w:sz w:val="28"/>
          <w:szCs w:val="28"/>
          <w:lang w:val="uk-UA"/>
        </w:rPr>
        <w:t>,</w:t>
      </w:r>
      <w:r w:rsidR="00800F95" w:rsidRPr="00B14ACD">
        <w:rPr>
          <w:color w:val="000000" w:themeColor="text1"/>
          <w:lang w:val="uk-UA"/>
        </w:rPr>
        <w:t xml:space="preserve"> </w:t>
      </w:r>
      <w:r w:rsidR="00096763" w:rsidRPr="00B14ACD">
        <w:rPr>
          <w:rFonts w:ascii="Times New Roman" w:hAnsi="Times New Roman" w:cs="Times New Roman"/>
          <w:b w:val="0"/>
          <w:color w:val="000000" w:themeColor="text1"/>
          <w:sz w:val="28"/>
          <w:szCs w:val="28"/>
        </w:rPr>
        <w:t>Г. Уманова та ін. Виявлення медико-психічних особливостей девіантної поведінки</w:t>
      </w:r>
      <w:proofErr w:type="gramEnd"/>
      <w:r w:rsidR="00096763" w:rsidRPr="00B14ACD">
        <w:rPr>
          <w:rFonts w:ascii="Times New Roman" w:hAnsi="Times New Roman" w:cs="Times New Roman"/>
          <w:b w:val="0"/>
          <w:color w:val="000000" w:themeColor="text1"/>
          <w:sz w:val="28"/>
          <w:szCs w:val="28"/>
        </w:rPr>
        <w:t xml:space="preserve"> цікавили С. Алексєєва, М. Алемаскіна, С. Бадмаєва, </w:t>
      </w:r>
      <w:r w:rsidR="00B14ACD" w:rsidRPr="00B14ACD">
        <w:rPr>
          <w:rFonts w:ascii="Times New Roman" w:hAnsi="Times New Roman" w:cs="Times New Roman"/>
          <w:b w:val="0"/>
          <w:color w:val="000000" w:themeColor="text1"/>
          <w:sz w:val="28"/>
          <w:szCs w:val="28"/>
          <w:lang w:val="uk-UA"/>
        </w:rPr>
        <w:t xml:space="preserve">І. Дьоміна, </w:t>
      </w:r>
      <w:r w:rsidR="00096763" w:rsidRPr="00B14ACD">
        <w:rPr>
          <w:rFonts w:ascii="Times New Roman" w:hAnsi="Times New Roman" w:cs="Times New Roman"/>
          <w:b w:val="0"/>
          <w:color w:val="000000" w:themeColor="text1"/>
          <w:sz w:val="28"/>
          <w:szCs w:val="28"/>
        </w:rPr>
        <w:t>Є. Гороховського</w:t>
      </w:r>
      <w:r w:rsidR="00B14ACD" w:rsidRPr="00B14ACD">
        <w:rPr>
          <w:rFonts w:ascii="Times New Roman" w:hAnsi="Times New Roman" w:cs="Times New Roman"/>
          <w:b w:val="0"/>
          <w:color w:val="000000" w:themeColor="text1"/>
          <w:sz w:val="28"/>
          <w:szCs w:val="28"/>
          <w:lang w:val="uk-UA"/>
        </w:rPr>
        <w:t>, О. Киричука, С. Подмазіна, Т. Титаренка</w:t>
      </w:r>
      <w:r w:rsidR="00096763" w:rsidRPr="00B14ACD">
        <w:rPr>
          <w:rFonts w:ascii="Times New Roman" w:hAnsi="Times New Roman" w:cs="Times New Roman"/>
          <w:b w:val="0"/>
          <w:color w:val="000000" w:themeColor="text1"/>
          <w:sz w:val="28"/>
          <w:szCs w:val="28"/>
        </w:rPr>
        <w:t xml:space="preserve"> та ін.</w:t>
      </w:r>
    </w:p>
    <w:p w:rsidR="005E6630" w:rsidRPr="00CF1B55" w:rsidRDefault="005E6630" w:rsidP="005E6630">
      <w:pPr>
        <w:ind w:firstLine="709"/>
      </w:pPr>
      <w:r>
        <w:rPr>
          <w:b/>
        </w:rPr>
        <w:t xml:space="preserve">Метою статті </w:t>
      </w:r>
      <w:r>
        <w:t xml:space="preserve">постає опис результатів </w:t>
      </w:r>
      <w:r w:rsidR="008E56FC">
        <w:t>емпіричного дослідження</w:t>
      </w:r>
      <w:r>
        <w:t xml:space="preserve"> схильності учнів 5-10 класів до проявів девіатної поведінки</w:t>
      </w:r>
      <w:r w:rsidR="005A47E0">
        <w:t>.</w:t>
      </w:r>
    </w:p>
    <w:p w:rsidR="00096763" w:rsidRPr="005266B9" w:rsidRDefault="00123FD7" w:rsidP="00096763">
      <w:pPr>
        <w:ind w:firstLine="709"/>
      </w:pPr>
      <w:r>
        <w:rPr>
          <w:b/>
        </w:rPr>
        <w:t xml:space="preserve">Виклад основного матеріалу. </w:t>
      </w:r>
      <w:r w:rsidR="00096763" w:rsidRPr="005266B9">
        <w:t xml:space="preserve">Дослідження особливостей прояву девіантної поведінки проводилось з залученням учнів 5-10 класів загальноосвітніх закладів Чернівецької області. Загальна кількість респондентів – 231 особа, з яких – 118 дівчат та 113 хлопців. </w:t>
      </w:r>
    </w:p>
    <w:p w:rsidR="00096763" w:rsidRPr="005266B9" w:rsidRDefault="00096763" w:rsidP="00096763">
      <w:pPr>
        <w:ind w:firstLine="709"/>
      </w:pPr>
      <w:r w:rsidRPr="005266B9">
        <w:t>Для здійснення дослідження було застосовано методику діагностики схильності до девіантної поведінки (А. Орел).</w:t>
      </w:r>
      <w:r w:rsidR="00C2478F">
        <w:t xml:space="preserve"> </w:t>
      </w:r>
      <w:r w:rsidRPr="005266B9">
        <w:rPr>
          <w:i/>
        </w:rPr>
        <w:t>Методика діагностики схильності до девіантної поведінки</w:t>
      </w:r>
      <w:r w:rsidRPr="005266B9">
        <w:rPr>
          <w:b/>
        </w:rPr>
        <w:t xml:space="preserve"> </w:t>
      </w:r>
      <w:r w:rsidRPr="005266B9">
        <w:t>розроблена Вологодським центром гуманітарних досліджень і консультування «Розвиток» у 1992 р. [</w:t>
      </w:r>
      <w:r w:rsidR="002D3A68" w:rsidRPr="002D3A68">
        <w:rPr>
          <w:color w:val="000000" w:themeColor="text1"/>
        </w:rPr>
        <w:t>1</w:t>
      </w:r>
      <w:r w:rsidRPr="002D3A68">
        <w:rPr>
          <w:color w:val="000000" w:themeColor="text1"/>
        </w:rPr>
        <w:t>, с. 209-213</w:t>
      </w:r>
      <w:r w:rsidRPr="005266B9">
        <w:t>].</w:t>
      </w:r>
    </w:p>
    <w:p w:rsidR="00096763" w:rsidRPr="005266B9" w:rsidRDefault="00096763" w:rsidP="00096763">
      <w:pPr>
        <w:ind w:firstLine="709"/>
      </w:pPr>
      <w:r w:rsidRPr="005266B9">
        <w:t xml:space="preserve">Методика складається з 98 тверджень, на кожне з яких учням пропонувалося дати відповідь «так» або «ні». Підрахунок балів здійснювався так, що кожній відповіді за ключем надавався один бал. Отриманий сумарний бал порінювався з тестовими нормами. </w:t>
      </w:r>
    </w:p>
    <w:p w:rsidR="00096763" w:rsidRPr="005266B9" w:rsidRDefault="00096763" w:rsidP="00096763">
      <w:pPr>
        <w:ind w:firstLine="709"/>
      </w:pPr>
      <w:r w:rsidRPr="005266B9">
        <w:lastRenderedPageBreak/>
        <w:t xml:space="preserve">Аналіз результатів на кожну із семи шкал методики здійснювався за чотирьма варіантами розвитку характеристики відповідно до тестових норм: виражена характеристика, норма, слабовиражена характеристика, характеристика відсутня. </w:t>
      </w:r>
    </w:p>
    <w:p w:rsidR="00096763" w:rsidRPr="005266B9" w:rsidRDefault="001408DB" w:rsidP="00096763">
      <w:pPr>
        <w:ind w:firstLine="709"/>
      </w:pPr>
      <w:r>
        <w:t>Опис</w:t>
      </w:r>
      <w:r w:rsidR="00096763" w:rsidRPr="005266B9">
        <w:t xml:space="preserve"> результатів здійснено за такими шкалами: шкала установки на соціальну бажаність, шкала схильності до порушень норм і правил, шкала схильності до адиктивної поведінки, шкала схильності до самоушкодження і саморуйнування, шкала схильності до агресії і насильства, шкала вольового контролю емоційних реакцій, шкала схильності до делінквентної поведінки. </w:t>
      </w:r>
    </w:p>
    <w:p w:rsidR="00096763" w:rsidRPr="005266B9" w:rsidRDefault="00D722A9" w:rsidP="00096763">
      <w:pPr>
        <w:ind w:firstLine="709"/>
      </w:pPr>
      <w:r>
        <w:t>В</w:t>
      </w:r>
      <w:r w:rsidR="00096763" w:rsidRPr="005266B9">
        <w:t xml:space="preserve">ивчення схильності </w:t>
      </w:r>
      <w:r w:rsidR="00D70A7B">
        <w:t>учнів</w:t>
      </w:r>
      <w:r w:rsidR="00096763" w:rsidRPr="005266B9">
        <w:t xml:space="preserve"> до девіантної поведінки дозволило</w:t>
      </w:r>
      <w:r>
        <w:t xml:space="preserve">, у першу чергу, </w:t>
      </w:r>
      <w:r w:rsidR="00096763" w:rsidRPr="005266B9">
        <w:t xml:space="preserve">виявити у них </w:t>
      </w:r>
      <w:r>
        <w:t xml:space="preserve">наявність </w:t>
      </w:r>
      <w:r w:rsidR="00096763" w:rsidRPr="005266B9">
        <w:t>установк</w:t>
      </w:r>
      <w:r>
        <w:t>и</w:t>
      </w:r>
      <w:r w:rsidR="00096763" w:rsidRPr="005266B9">
        <w:t xml:space="preserve"> на соціально бажані відповіді.</w:t>
      </w:r>
      <w:r>
        <w:t xml:space="preserve"> Вона притаманна </w:t>
      </w:r>
      <w:r w:rsidR="00096763" w:rsidRPr="005266B9">
        <w:t>63 % респондентів</w:t>
      </w:r>
      <w:r w:rsidR="00C266F8">
        <w:t xml:space="preserve">. </w:t>
      </w:r>
      <w:r>
        <w:t>Цей показник об</w:t>
      </w:r>
      <w:r w:rsidRPr="00D722A9">
        <w:t>’</w:t>
      </w:r>
      <w:r>
        <w:t xml:space="preserve">єднує </w:t>
      </w:r>
      <w:r w:rsidR="00096763" w:rsidRPr="005266B9">
        <w:t>62 %</w:t>
      </w:r>
      <w:r>
        <w:t xml:space="preserve"> усіх </w:t>
      </w:r>
      <w:r w:rsidR="00096763" w:rsidRPr="005266B9">
        <w:t xml:space="preserve">дівчат і 64 % хлопців. </w:t>
      </w:r>
      <w:r>
        <w:t>З</w:t>
      </w:r>
      <w:r w:rsidR="00096763" w:rsidRPr="005266B9">
        <w:t xml:space="preserve"> одного боку, </w:t>
      </w:r>
      <w:r>
        <w:t xml:space="preserve">дана характеристика, може </w:t>
      </w:r>
      <w:r w:rsidR="00096763" w:rsidRPr="005266B9">
        <w:t>свідчит</w:t>
      </w:r>
      <w:r>
        <w:t>и</w:t>
      </w:r>
      <w:r w:rsidR="00096763" w:rsidRPr="005266B9">
        <w:t xml:space="preserve"> про орієнтованість школярів на нормативно прийнятну поведінку (залежність від громадської думки)</w:t>
      </w:r>
      <w:r>
        <w:t xml:space="preserve"> і таким чином – орієнтування на соціально привабливі відповіді</w:t>
      </w:r>
      <w:r w:rsidR="00096763" w:rsidRPr="005266B9">
        <w:t xml:space="preserve">, </w:t>
      </w:r>
      <w:r>
        <w:t xml:space="preserve">а </w:t>
      </w:r>
      <w:r w:rsidR="00096763" w:rsidRPr="005266B9">
        <w:t xml:space="preserve">з </w:t>
      </w:r>
      <w:r>
        <w:t>іншого</w:t>
      </w:r>
      <w:r w:rsidR="00096763" w:rsidRPr="005266B9">
        <w:t xml:space="preserve"> – високий бал за шкалою свідчить про готовність досліджуван</w:t>
      </w:r>
      <w:r>
        <w:t xml:space="preserve">их </w:t>
      </w:r>
      <w:r w:rsidR="00096763" w:rsidRPr="005266B9">
        <w:t>представляти себе у найбільш вигідному світлі</w:t>
      </w:r>
      <w:r w:rsidR="00C266F8">
        <w:t xml:space="preserve">. </w:t>
      </w:r>
      <w:r w:rsidR="00096763" w:rsidRPr="005266B9">
        <w:t xml:space="preserve"> </w:t>
      </w:r>
    </w:p>
    <w:p w:rsidR="00096763" w:rsidRPr="005266B9" w:rsidRDefault="00096763" w:rsidP="00096763">
      <w:pPr>
        <w:ind w:firstLine="709"/>
      </w:pPr>
      <w:r w:rsidRPr="005266B9">
        <w:t xml:space="preserve">Найбільш орієнтованими на соціально бажані відповіді виявились учні п’ятих класів (95 %). </w:t>
      </w:r>
    </w:p>
    <w:p w:rsidR="00096763" w:rsidRPr="005266B9" w:rsidRDefault="00D722A9" w:rsidP="00096763">
      <w:pPr>
        <w:ind w:firstLine="709"/>
      </w:pPr>
      <w:r>
        <w:t xml:space="preserve">Загалом очевидними є </w:t>
      </w:r>
      <w:r w:rsidR="00096763" w:rsidRPr="005266B9">
        <w:t>два переломних моменти розвитку установки на соціальну бажаність: вон</w:t>
      </w:r>
      <w:r>
        <w:t>а</w:t>
      </w:r>
      <w:r w:rsidR="00096763" w:rsidRPr="005266B9">
        <w:t xml:space="preserve"> яскраво виражен</w:t>
      </w:r>
      <w:r>
        <w:t>а</w:t>
      </w:r>
      <w:r w:rsidR="00096763" w:rsidRPr="005266B9">
        <w:t xml:space="preserve"> серед учнів восьмих і дев’ятих класів. Зрештою, </w:t>
      </w:r>
      <w:r>
        <w:t xml:space="preserve">пізніше, </w:t>
      </w:r>
      <w:r w:rsidR="00096763" w:rsidRPr="005266B9">
        <w:t xml:space="preserve">із плином часу орієнтованість школярів на соціальне оточення та бажаність спадає, </w:t>
      </w:r>
      <w:r>
        <w:t xml:space="preserve">що є ознакою незалежної </w:t>
      </w:r>
      <w:r w:rsidR="00096763" w:rsidRPr="005266B9">
        <w:t>свідом</w:t>
      </w:r>
      <w:r>
        <w:t>ої</w:t>
      </w:r>
      <w:r w:rsidR="00096763" w:rsidRPr="005266B9">
        <w:t xml:space="preserve"> особи. </w:t>
      </w:r>
    </w:p>
    <w:p w:rsidR="00096763" w:rsidRPr="005266B9" w:rsidRDefault="00C266F8" w:rsidP="00096763">
      <w:pPr>
        <w:ind w:firstLine="709"/>
      </w:pPr>
      <w:r>
        <w:drawing>
          <wp:anchor distT="0" distB="0" distL="114300" distR="114300" simplePos="0" relativeHeight="251659264" behindDoc="0" locked="0" layoutInCell="1" allowOverlap="1">
            <wp:simplePos x="0" y="0"/>
            <wp:positionH relativeFrom="column">
              <wp:posOffset>52070</wp:posOffset>
            </wp:positionH>
            <wp:positionV relativeFrom="paragraph">
              <wp:posOffset>330835</wp:posOffset>
            </wp:positionV>
            <wp:extent cx="5857875" cy="1895475"/>
            <wp:effectExtent l="0" t="0" r="0" b="0"/>
            <wp:wrapSquare wrapText="bothSides"/>
            <wp:docPr id="1"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sidR="00096763" w:rsidRPr="005266B9">
        <w:t xml:space="preserve">3 % </w:t>
      </w:r>
      <w:r w:rsidR="00D722A9">
        <w:t xml:space="preserve">мають виражену </w:t>
      </w:r>
      <w:r w:rsidR="00096763" w:rsidRPr="005266B9">
        <w:t>схильність до порушення норм і правил (рис. 1).</w:t>
      </w:r>
    </w:p>
    <w:p w:rsidR="00C266F8" w:rsidRDefault="00C266F8" w:rsidP="00096763">
      <w:pPr>
        <w:ind w:firstLine="902"/>
        <w:jc w:val="center"/>
      </w:pPr>
    </w:p>
    <w:p w:rsidR="00096763" w:rsidRPr="00096763" w:rsidRDefault="00096763" w:rsidP="00096763">
      <w:pPr>
        <w:ind w:firstLine="902"/>
        <w:jc w:val="center"/>
        <w:rPr>
          <w:b/>
        </w:rPr>
      </w:pPr>
      <w:r w:rsidRPr="005266B9">
        <w:t xml:space="preserve">Рис. 1. </w:t>
      </w:r>
      <w:r w:rsidRPr="00096763">
        <w:rPr>
          <w:b/>
        </w:rPr>
        <w:t>Вираженість характеристики «Схильність до порушень норм і правил» в різних класах, %</w:t>
      </w:r>
    </w:p>
    <w:p w:rsidR="00D722A9" w:rsidRDefault="00D722A9" w:rsidP="00096763">
      <w:pPr>
        <w:ind w:firstLine="709"/>
      </w:pPr>
    </w:p>
    <w:p w:rsidR="00D722A9" w:rsidRDefault="00096763" w:rsidP="00096763">
      <w:pPr>
        <w:ind w:firstLine="709"/>
      </w:pPr>
      <w:r w:rsidRPr="005266B9">
        <w:t>Ця схильність з’являється більшою мірою в старших класах</w:t>
      </w:r>
      <w:r w:rsidR="00D722A9">
        <w:t xml:space="preserve">, </w:t>
      </w:r>
      <w:r w:rsidRPr="005266B9">
        <w:t xml:space="preserve">починаючи з восьмого у дівчат (5 % ), і з дев’ятого – </w:t>
      </w:r>
      <w:r w:rsidR="00D722A9">
        <w:t>у</w:t>
      </w:r>
      <w:r w:rsidRPr="005266B9">
        <w:t xml:space="preserve"> хлопців (5 %). В десятому класі схильність до порушення норм і правил зростає до 11 %</w:t>
      </w:r>
      <w:r w:rsidR="00D722A9">
        <w:t xml:space="preserve"> </w:t>
      </w:r>
      <w:r w:rsidRPr="005266B9">
        <w:t xml:space="preserve">у межах вираженої характеристики. В даній віковій категорії виражена схильність до порушення норм і правил </w:t>
      </w:r>
      <w:r w:rsidR="00D722A9">
        <w:t xml:space="preserve">у дівчат </w:t>
      </w:r>
      <w:r w:rsidRPr="005266B9">
        <w:t>незначною мірою переважає над показником у хлопців (15</w:t>
      </w:r>
      <w:r w:rsidR="00D722A9">
        <w:t> </w:t>
      </w:r>
      <w:r w:rsidRPr="005266B9">
        <w:t>% і 6</w:t>
      </w:r>
      <w:r w:rsidR="00D722A9">
        <w:t> </w:t>
      </w:r>
      <w:r w:rsidRPr="005266B9">
        <w:t xml:space="preserve">%). </w:t>
      </w:r>
    </w:p>
    <w:p w:rsidR="00C266F8" w:rsidRDefault="00C266F8" w:rsidP="00096763">
      <w:pPr>
        <w:ind w:firstLine="709"/>
      </w:pPr>
      <w:r>
        <w:t>У</w:t>
      </w:r>
      <w:r w:rsidR="00096763" w:rsidRPr="005266B9">
        <w:t xml:space="preserve"> цілому, більшість </w:t>
      </w:r>
      <w:r>
        <w:t xml:space="preserve">досліджуваних </w:t>
      </w:r>
      <w:r w:rsidR="00096763" w:rsidRPr="005266B9">
        <w:t>учнів</w:t>
      </w:r>
      <w:r>
        <w:t xml:space="preserve"> </w:t>
      </w:r>
      <w:r w:rsidR="00096763" w:rsidRPr="005266B9">
        <w:t xml:space="preserve">характеризується </w:t>
      </w:r>
      <w:r>
        <w:t>проявами нормального</w:t>
      </w:r>
      <w:r w:rsidR="00096763" w:rsidRPr="005266B9">
        <w:t xml:space="preserve"> показник</w:t>
      </w:r>
      <w:r>
        <w:t>а</w:t>
      </w:r>
      <w:r w:rsidR="00096763" w:rsidRPr="005266B9">
        <w:t xml:space="preserve">  і слабовираженою схильністю до порушення норм і правил. </w:t>
      </w:r>
    </w:p>
    <w:p w:rsidR="00096763" w:rsidRPr="005266B9" w:rsidRDefault="00C266F8" w:rsidP="00096763">
      <w:pPr>
        <w:ind w:firstLine="709"/>
      </w:pPr>
      <w:r>
        <w:drawing>
          <wp:anchor distT="0" distB="0" distL="114300" distR="114300" simplePos="0" relativeHeight="251663360" behindDoc="1" locked="0" layoutInCell="1" allowOverlap="1">
            <wp:simplePos x="0" y="0"/>
            <wp:positionH relativeFrom="column">
              <wp:posOffset>52070</wp:posOffset>
            </wp:positionH>
            <wp:positionV relativeFrom="paragraph">
              <wp:posOffset>1547495</wp:posOffset>
            </wp:positionV>
            <wp:extent cx="6029325" cy="1714500"/>
            <wp:effectExtent l="0" t="0" r="0" b="0"/>
            <wp:wrapSquare wrapText="bothSides"/>
            <wp:docPr id="2"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sidR="00096763" w:rsidRPr="005266B9">
        <w:t>За шкалою «Схильність до ади</w:t>
      </w:r>
      <w:r>
        <w:t>к</w:t>
      </w:r>
      <w:r w:rsidR="00096763" w:rsidRPr="005266B9">
        <w:t xml:space="preserve">тивної поведінки» </w:t>
      </w:r>
      <w:r>
        <w:t xml:space="preserve">отримано такі результати: </w:t>
      </w:r>
      <w:r w:rsidR="00096763" w:rsidRPr="005266B9">
        <w:t>у 4</w:t>
      </w:r>
      <w:r>
        <w:t> </w:t>
      </w:r>
      <w:r w:rsidR="00096763" w:rsidRPr="005266B9">
        <w:t xml:space="preserve">% респондентів виявлена схильність (рис. 2), яка з’являється у восьмому класі (5 %) і зберігається на тому ж рівні в дев’ятому із однаковим розподілом за статтю (по 5 %). В десятому класі показник зростає до 16 % (22 % хлопців і 10 % дівчат). </w:t>
      </w:r>
    </w:p>
    <w:p w:rsidR="00B55DF0" w:rsidRDefault="00B55DF0" w:rsidP="00096763">
      <w:pPr>
        <w:jc w:val="center"/>
      </w:pPr>
    </w:p>
    <w:p w:rsidR="00096763" w:rsidRPr="005266B9" w:rsidRDefault="00096763" w:rsidP="00096763">
      <w:pPr>
        <w:jc w:val="center"/>
        <w:rPr>
          <w:b/>
        </w:rPr>
      </w:pPr>
      <w:r w:rsidRPr="004026F3">
        <w:t xml:space="preserve">Рис. 2. </w:t>
      </w:r>
      <w:r w:rsidRPr="005266B9">
        <w:rPr>
          <w:b/>
        </w:rPr>
        <w:t>Вираженість характеристики «Схильність до адиктивної поведінки», %</w:t>
      </w:r>
    </w:p>
    <w:p w:rsidR="00B55DF0" w:rsidRDefault="00B55DF0" w:rsidP="00096763">
      <w:pPr>
        <w:ind w:firstLine="709"/>
      </w:pPr>
    </w:p>
    <w:p w:rsidR="00096763" w:rsidRPr="007A1469" w:rsidRDefault="00096763" w:rsidP="00096763">
      <w:pPr>
        <w:ind w:firstLine="709"/>
      </w:pPr>
      <w:r>
        <w:lastRenderedPageBreak/>
        <w:t xml:space="preserve">У </w:t>
      </w:r>
      <w:r w:rsidRPr="007A1469">
        <w:t xml:space="preserve">цілому серед учнів із вираженою характеристикою переважають </w:t>
      </w:r>
      <w:r>
        <w:t xml:space="preserve">показники </w:t>
      </w:r>
      <w:r w:rsidRPr="007A1469">
        <w:t>хлопці</w:t>
      </w:r>
      <w:r>
        <w:t>в</w:t>
      </w:r>
      <w:r w:rsidRPr="007A1469">
        <w:t xml:space="preserve"> (5</w:t>
      </w:r>
      <w:r>
        <w:t> </w:t>
      </w:r>
      <w:r w:rsidRPr="007A1469">
        <w:t xml:space="preserve">%) </w:t>
      </w:r>
      <w:r w:rsidR="00C266F8">
        <w:t xml:space="preserve">на тлі показників </w:t>
      </w:r>
      <w:r w:rsidRPr="007A1469">
        <w:t>дівчат (3</w:t>
      </w:r>
      <w:r>
        <w:t> </w:t>
      </w:r>
      <w:r w:rsidRPr="007A1469">
        <w:t>%).</w:t>
      </w:r>
    </w:p>
    <w:p w:rsidR="00096763" w:rsidRPr="00CE4463" w:rsidRDefault="00096763" w:rsidP="00096763">
      <w:pPr>
        <w:ind w:firstLine="709"/>
      </w:pPr>
      <w:r>
        <w:t>З</w:t>
      </w:r>
      <w:r w:rsidRPr="007A1469">
        <w:t xml:space="preserve">а віковою категорією чітка </w:t>
      </w:r>
      <w:r w:rsidR="00C266F8">
        <w:t>відмінність простежується у десятому класі – серед у</w:t>
      </w:r>
      <w:r w:rsidRPr="007A1469">
        <w:t xml:space="preserve">сіх опитаних </w:t>
      </w:r>
      <w:r w:rsidR="00C266F8" w:rsidRPr="007A1469">
        <w:t>у 22</w:t>
      </w:r>
      <w:r w:rsidR="00C266F8">
        <w:t> </w:t>
      </w:r>
      <w:r w:rsidR="00C266F8" w:rsidRPr="007A1469">
        <w:t xml:space="preserve">%  </w:t>
      </w:r>
      <w:r w:rsidR="00C266F8">
        <w:t>д</w:t>
      </w:r>
      <w:r w:rsidRPr="007A1469">
        <w:t>есятикласників виявлена схильність до адиктивної поведінки.</w:t>
      </w:r>
    </w:p>
    <w:p w:rsidR="00096763" w:rsidRDefault="00096763" w:rsidP="00096763">
      <w:pPr>
        <w:ind w:firstLine="709"/>
      </w:pPr>
      <w:r>
        <w:t>Таким чином, 46 % респондентів мають нормальний показник за даною шкалою, 42 %</w:t>
      </w:r>
      <w:r w:rsidRPr="00C15AD8">
        <w:t xml:space="preserve"> </w:t>
      </w:r>
      <w:r>
        <w:t>характеризуються слабовираженою схильністю до адиктивної поведінки, у 7 % взагалі відсутня вимірювана характеристика, а у 4 % вона виражена.</w:t>
      </w:r>
    </w:p>
    <w:p w:rsidR="00C266F8" w:rsidRDefault="00096763" w:rsidP="00096763">
      <w:pPr>
        <w:ind w:firstLine="709"/>
      </w:pPr>
      <w:r>
        <w:t xml:space="preserve">Загалом, у </w:t>
      </w:r>
      <w:r w:rsidRPr="00CE499D">
        <w:t xml:space="preserve">більшості учнів інтенсивність </w:t>
      </w:r>
      <w:r>
        <w:t xml:space="preserve">прояву </w:t>
      </w:r>
      <w:r w:rsidRPr="00CE499D">
        <w:t>характеристики не виходить за межі норми (46</w:t>
      </w:r>
      <w:r>
        <w:t> </w:t>
      </w:r>
      <w:r w:rsidRPr="00CE499D">
        <w:t xml:space="preserve">%). </w:t>
      </w:r>
    </w:p>
    <w:p w:rsidR="00096763" w:rsidRDefault="00096763" w:rsidP="00096763">
      <w:pPr>
        <w:ind w:firstLine="709"/>
      </w:pPr>
      <w:r w:rsidRPr="00CE499D">
        <w:t xml:space="preserve">Не можна не звернути увагу </w:t>
      </w:r>
      <w:r>
        <w:t xml:space="preserve">на те, </w:t>
      </w:r>
      <w:r w:rsidRPr="00CE499D">
        <w:t>наскільки висока чисельність осіб із відсутньою схильністю у п’ятому класі (32</w:t>
      </w:r>
      <w:r>
        <w:t> </w:t>
      </w:r>
      <w:r w:rsidRPr="00CE499D">
        <w:t>%). Картин</w:t>
      </w:r>
      <w:r>
        <w:t>у</w:t>
      </w:r>
      <w:r w:rsidRPr="00CE499D">
        <w:t>, як</w:t>
      </w:r>
      <w:r>
        <w:t xml:space="preserve">а </w:t>
      </w:r>
      <w:r w:rsidRPr="00CE499D">
        <w:t>спос</w:t>
      </w:r>
      <w:r>
        <w:t xml:space="preserve">терігається у даній віковій групі, </w:t>
      </w:r>
      <w:r w:rsidRPr="00CE499D">
        <w:t xml:space="preserve">не </w:t>
      </w:r>
      <w:r>
        <w:t xml:space="preserve">варто </w:t>
      </w:r>
      <w:r w:rsidRPr="00CE499D">
        <w:t>вважати стовідсотково адекватною, адже в п’ятому класі 95</w:t>
      </w:r>
      <w:r>
        <w:t> </w:t>
      </w:r>
      <w:r w:rsidRPr="00CE499D">
        <w:t>% учнів мають виражену установку на соціально бажані відповіді, а це означає, що в даній когорті якщо схильності до девіацій і є, то вони для нашого ока приховані.</w:t>
      </w:r>
    </w:p>
    <w:p w:rsidR="00B66114" w:rsidRDefault="00B66114" w:rsidP="00096763">
      <w:pPr>
        <w:ind w:firstLine="709"/>
      </w:pPr>
      <w:r>
        <w:drawing>
          <wp:anchor distT="0" distB="0" distL="114300" distR="114300" simplePos="0" relativeHeight="251664384" behindDoc="0" locked="0" layoutInCell="1" allowOverlap="1">
            <wp:simplePos x="0" y="0"/>
            <wp:positionH relativeFrom="column">
              <wp:posOffset>90170</wp:posOffset>
            </wp:positionH>
            <wp:positionV relativeFrom="paragraph">
              <wp:posOffset>926465</wp:posOffset>
            </wp:positionV>
            <wp:extent cx="5953125" cy="1847850"/>
            <wp:effectExtent l="0" t="0" r="0" b="0"/>
            <wp:wrapSquare wrapText="bothSides"/>
            <wp:docPr id="3"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sidR="00096763">
        <w:t>За</w:t>
      </w:r>
      <w:r w:rsidR="00096763" w:rsidRPr="00977A22">
        <w:rPr>
          <w:b/>
        </w:rPr>
        <w:t xml:space="preserve"> </w:t>
      </w:r>
      <w:r w:rsidR="00096763" w:rsidRPr="007F5CD3">
        <w:t>шкалою «Схильність до с</w:t>
      </w:r>
      <w:r w:rsidR="00096763">
        <w:t>амоушкодження і саморуйнування»</w:t>
      </w:r>
      <w:r w:rsidR="00C266F8">
        <w:t>,</w:t>
      </w:r>
      <w:r w:rsidR="00096763">
        <w:t xml:space="preserve"> п</w:t>
      </w:r>
      <w:r w:rsidR="00096763" w:rsidRPr="004A0149">
        <w:t>орівняно з результатами попередніх шкал</w:t>
      </w:r>
      <w:r w:rsidR="00C266F8">
        <w:t>,</w:t>
      </w:r>
      <w:r w:rsidR="00096763">
        <w:t xml:space="preserve"> вираженість ознак</w:t>
      </w:r>
      <w:r>
        <w:t xml:space="preserve">и </w:t>
      </w:r>
      <w:r w:rsidR="00096763">
        <w:t>найвища (</w:t>
      </w:r>
      <w:r w:rsidR="00096763" w:rsidRPr="004A0149">
        <w:t>10</w:t>
      </w:r>
      <w:r w:rsidR="00096763">
        <w:t> </w:t>
      </w:r>
      <w:r w:rsidR="00096763" w:rsidRPr="004A0149">
        <w:t>%</w:t>
      </w:r>
      <w:r w:rsidR="00096763">
        <w:t>)</w:t>
      </w:r>
      <w:r>
        <w:t xml:space="preserve"> (рис. 3)</w:t>
      </w:r>
      <w:r w:rsidR="00096763" w:rsidRPr="004A0149">
        <w:t>.</w:t>
      </w:r>
      <w:r w:rsidR="00096763">
        <w:t xml:space="preserve"> </w:t>
      </w:r>
    </w:p>
    <w:p w:rsidR="00C266F8" w:rsidRDefault="00C266F8" w:rsidP="00B55DF0">
      <w:pPr>
        <w:ind w:firstLine="709"/>
        <w:jc w:val="center"/>
        <w:rPr>
          <w:color w:val="000000" w:themeColor="text1"/>
        </w:rPr>
      </w:pPr>
    </w:p>
    <w:p w:rsidR="00B66114" w:rsidRPr="00B66114" w:rsidRDefault="00B66114" w:rsidP="00B55DF0">
      <w:pPr>
        <w:ind w:firstLine="709"/>
        <w:jc w:val="center"/>
        <w:rPr>
          <w:b/>
          <w:color w:val="000000" w:themeColor="text1"/>
        </w:rPr>
      </w:pPr>
      <w:r w:rsidRPr="00B66114">
        <w:rPr>
          <w:color w:val="000000" w:themeColor="text1"/>
        </w:rPr>
        <w:t xml:space="preserve">Рис. </w:t>
      </w:r>
      <w:r>
        <w:rPr>
          <w:color w:val="000000" w:themeColor="text1"/>
        </w:rPr>
        <w:t>3</w:t>
      </w:r>
      <w:r w:rsidRPr="00B66114">
        <w:rPr>
          <w:color w:val="000000" w:themeColor="text1"/>
        </w:rPr>
        <w:t xml:space="preserve">. </w:t>
      </w:r>
      <w:r w:rsidRPr="00B66114">
        <w:rPr>
          <w:b/>
          <w:color w:val="000000" w:themeColor="text1"/>
        </w:rPr>
        <w:t>Розподіл прояву нормального показника за шкалою «Схильність до самоушкодження і саморуйнування», %</w:t>
      </w:r>
    </w:p>
    <w:p w:rsidR="00B55DF0" w:rsidRDefault="00B55DF0" w:rsidP="00B55DF0">
      <w:pPr>
        <w:ind w:firstLine="709"/>
      </w:pPr>
    </w:p>
    <w:p w:rsidR="00096763" w:rsidRDefault="00096763" w:rsidP="00B55DF0">
      <w:pPr>
        <w:ind w:firstLine="709"/>
      </w:pPr>
      <w:r>
        <w:t xml:space="preserve">Ця схильність </w:t>
      </w:r>
      <w:r w:rsidRPr="004A0149">
        <w:t xml:space="preserve">з’являється у шостому класі </w:t>
      </w:r>
      <w:r>
        <w:t>в</w:t>
      </w:r>
      <w:r w:rsidRPr="004A0149">
        <w:t xml:space="preserve"> хлоп</w:t>
      </w:r>
      <w:r>
        <w:t xml:space="preserve">ців </w:t>
      </w:r>
      <w:r w:rsidRPr="004A0149">
        <w:t xml:space="preserve">(11%), в сьомому класі </w:t>
      </w:r>
      <w:r>
        <w:t xml:space="preserve">– у </w:t>
      </w:r>
      <w:r w:rsidRPr="004A0149">
        <w:t>дівчат</w:t>
      </w:r>
      <w:r>
        <w:t xml:space="preserve"> </w:t>
      </w:r>
      <w:r w:rsidRPr="004A0149">
        <w:t xml:space="preserve">(12%), проте в даній </w:t>
      </w:r>
      <w:r>
        <w:t xml:space="preserve">віковій </w:t>
      </w:r>
      <w:r w:rsidRPr="004A0149">
        <w:t>групі зменшується кількість хлопців за ознакою до 5</w:t>
      </w:r>
      <w:r>
        <w:t> </w:t>
      </w:r>
      <w:r w:rsidRPr="004A0149">
        <w:t xml:space="preserve">%. У восьмому та дев’ятому класах чисельність за варіантом вираженості зберігається серед хлопців на тому ж рівні. А от </w:t>
      </w:r>
      <w:r>
        <w:t xml:space="preserve">у </w:t>
      </w:r>
      <w:r w:rsidRPr="004A0149">
        <w:t>дівчат величина ознаки у восьмому класі незначно спадає (10</w:t>
      </w:r>
      <w:r>
        <w:t> </w:t>
      </w:r>
      <w:r w:rsidRPr="004A0149">
        <w:t xml:space="preserve">%) і стрімко збільшується </w:t>
      </w:r>
      <w:r>
        <w:t xml:space="preserve">до </w:t>
      </w:r>
      <w:r w:rsidRPr="004A0149">
        <w:t>25</w:t>
      </w:r>
      <w:r>
        <w:t> </w:t>
      </w:r>
      <w:r w:rsidRPr="004A0149">
        <w:t xml:space="preserve">% у дев’ятому класі. </w:t>
      </w:r>
      <w:r>
        <w:t>У</w:t>
      </w:r>
      <w:r w:rsidRPr="004A0149">
        <w:t xml:space="preserve"> десятому класі дівчат із вираженою схильністю </w:t>
      </w:r>
      <w:r>
        <w:t>стає менше</w:t>
      </w:r>
      <w:r w:rsidRPr="004A0149">
        <w:t>, а чисельність хлоп</w:t>
      </w:r>
      <w:r>
        <w:t xml:space="preserve">ців </w:t>
      </w:r>
      <w:r w:rsidRPr="004A0149">
        <w:t xml:space="preserve">зростає </w:t>
      </w:r>
      <w:r>
        <w:t>(</w:t>
      </w:r>
      <w:r w:rsidRPr="004A0149">
        <w:t>33</w:t>
      </w:r>
      <w:r>
        <w:t> </w:t>
      </w:r>
      <w:r w:rsidRPr="004A0149">
        <w:t>%</w:t>
      </w:r>
      <w:r>
        <w:t>)</w:t>
      </w:r>
      <w:r w:rsidRPr="004A0149">
        <w:t>.</w:t>
      </w:r>
    </w:p>
    <w:p w:rsidR="00B66114" w:rsidRPr="00B66114" w:rsidRDefault="00B66114" w:rsidP="00626D35">
      <w:pPr>
        <w:ind w:firstLine="709"/>
        <w:rPr>
          <w:color w:val="000000" w:themeColor="text1"/>
        </w:rPr>
      </w:pPr>
      <w:r w:rsidRPr="00B66114">
        <w:rPr>
          <w:color w:val="000000" w:themeColor="text1"/>
        </w:rPr>
        <w:t xml:space="preserve">У загальному за ознакою «схильність до самоушкодження та саморуйнування» переважають варіанти «норма» і «слабовиражена характеристика». </w:t>
      </w:r>
      <w:r w:rsidR="00626D35">
        <w:rPr>
          <w:color w:val="000000" w:themeColor="text1"/>
        </w:rPr>
        <w:t>Наприклад, оскільки у</w:t>
      </w:r>
      <w:r w:rsidRPr="00B66114">
        <w:rPr>
          <w:color w:val="000000" w:themeColor="text1"/>
        </w:rPr>
        <w:t xml:space="preserve"> п‘ятому класі дуже висока орієнтація на соціально бажані відповіді, то найбільше проявляється варіант «слабовиражена характеристика» (58 %). Надалі його величина поступово спадає до восьмого класу (37 %), а в дев’ятому – зростає до 40 %, і знову спадає у десятому. </w:t>
      </w:r>
    </w:p>
    <w:p w:rsidR="00B66114" w:rsidRPr="00B66114" w:rsidRDefault="00B66114" w:rsidP="00B55DF0">
      <w:pPr>
        <w:ind w:firstLine="709"/>
        <w:rPr>
          <w:color w:val="000000" w:themeColor="text1"/>
        </w:rPr>
      </w:pPr>
      <w:r w:rsidRPr="00B66114">
        <w:rPr>
          <w:color w:val="000000" w:themeColor="text1"/>
        </w:rPr>
        <w:t>Дуже яскраво виявлений варіант «виражена характеристика». Він з’являється вже у шостому класі і зростає до 21 %.</w:t>
      </w:r>
    </w:p>
    <w:p w:rsidR="00B66114" w:rsidRDefault="00B66114" w:rsidP="00B55DF0">
      <w:pPr>
        <w:ind w:firstLine="709"/>
        <w:rPr>
          <w:color w:val="000000" w:themeColor="text1"/>
        </w:rPr>
      </w:pPr>
      <w:r w:rsidRPr="00B66114">
        <w:rPr>
          <w:color w:val="000000" w:themeColor="text1"/>
        </w:rPr>
        <w:t>Отже, на схильність до самоушкодження і саморуйнування варто звернути особливу увагу, адже серед п’яти вимірюваних девіацій дана характеристика є найбільш вираженою для всіх (окрім п’ятих класів) вікових категорій і для обох статей.</w:t>
      </w:r>
    </w:p>
    <w:p w:rsidR="00626D35" w:rsidRPr="00B66114" w:rsidRDefault="00C266F8" w:rsidP="00626D35">
      <w:pPr>
        <w:ind w:firstLine="709"/>
        <w:rPr>
          <w:color w:val="000000" w:themeColor="text1"/>
        </w:rPr>
      </w:pPr>
      <w:r w:rsidRPr="00B66114">
        <w:rPr>
          <w:color w:val="000000" w:themeColor="text1"/>
        </w:rPr>
        <w:t>За результатами</w:t>
      </w:r>
      <w:r w:rsidRPr="00B66114">
        <w:rPr>
          <w:b/>
          <w:color w:val="000000" w:themeColor="text1"/>
        </w:rPr>
        <w:t xml:space="preserve"> </w:t>
      </w:r>
      <w:r w:rsidRPr="00B66114">
        <w:rPr>
          <w:color w:val="000000" w:themeColor="text1"/>
        </w:rPr>
        <w:t>дослідження схильності до агресії і насильства (рис. 4) 5 % респондентів мають виражену схильність.</w:t>
      </w:r>
      <w:r w:rsidR="00626D35">
        <w:rPr>
          <w:color w:val="000000" w:themeColor="text1"/>
        </w:rPr>
        <w:t xml:space="preserve"> </w:t>
      </w:r>
      <w:r w:rsidR="00626D35" w:rsidRPr="00B66114">
        <w:rPr>
          <w:color w:val="000000" w:themeColor="text1"/>
        </w:rPr>
        <w:t>Дана схильність з’являється в п’ятому класі серед хлопців (6 %), в шостому класі вона відсутні, а сьомому і восьмому – спостерігається, причому більшою мірою серед дівчат (6 % і 5 %). В дев’ятому класі величина ознаки зростає до 7 % усієї вибірки (10 % дівчат і 5 % хлопців).</w:t>
      </w:r>
    </w:p>
    <w:p w:rsidR="00626D35" w:rsidRDefault="00626D35" w:rsidP="00626D35">
      <w:pPr>
        <w:ind w:firstLine="709"/>
        <w:rPr>
          <w:color w:val="000000" w:themeColor="text1"/>
        </w:rPr>
      </w:pPr>
      <w:r w:rsidRPr="00B55DF0">
        <w:rPr>
          <w:color w:val="000000" w:themeColor="text1"/>
        </w:rPr>
        <w:t>Найбільший показник за цим варіантом має десятий клас (13 %).</w:t>
      </w:r>
    </w:p>
    <w:p w:rsidR="00C266F8" w:rsidRDefault="00626D35" w:rsidP="00B55DF0">
      <w:pPr>
        <w:ind w:firstLine="709"/>
        <w:rPr>
          <w:color w:val="000000" w:themeColor="text1"/>
        </w:rPr>
      </w:pPr>
      <w:r>
        <w:rPr>
          <w:color w:val="000000" w:themeColor="text1"/>
        </w:rPr>
        <w:lastRenderedPageBreak/>
        <w:drawing>
          <wp:anchor distT="0" distB="0" distL="114300" distR="114300" simplePos="0" relativeHeight="251665408" behindDoc="0" locked="0" layoutInCell="1" allowOverlap="1">
            <wp:simplePos x="0" y="0"/>
            <wp:positionH relativeFrom="column">
              <wp:posOffset>33020</wp:posOffset>
            </wp:positionH>
            <wp:positionV relativeFrom="paragraph">
              <wp:posOffset>-167005</wp:posOffset>
            </wp:positionV>
            <wp:extent cx="6029325" cy="2057400"/>
            <wp:effectExtent l="0" t="0" r="0" b="0"/>
            <wp:wrapSquare wrapText="bothSides"/>
            <wp:docPr id="5"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626D35" w:rsidRPr="00B66114" w:rsidRDefault="00626D35" w:rsidP="00626D35">
      <w:pPr>
        <w:jc w:val="center"/>
        <w:rPr>
          <w:b/>
          <w:color w:val="000000" w:themeColor="text1"/>
        </w:rPr>
      </w:pPr>
      <w:r w:rsidRPr="00B66114">
        <w:rPr>
          <w:color w:val="000000" w:themeColor="text1"/>
        </w:rPr>
        <w:t xml:space="preserve">Рис. </w:t>
      </w:r>
      <w:r>
        <w:rPr>
          <w:color w:val="000000" w:themeColor="text1"/>
        </w:rPr>
        <w:t>4</w:t>
      </w:r>
      <w:r w:rsidRPr="00B66114">
        <w:rPr>
          <w:color w:val="000000" w:themeColor="text1"/>
        </w:rPr>
        <w:t xml:space="preserve">. </w:t>
      </w:r>
      <w:r w:rsidRPr="00B66114">
        <w:rPr>
          <w:b/>
          <w:color w:val="000000" w:themeColor="text1"/>
        </w:rPr>
        <w:t>Розподіл прояву вираженої характеристики за шкалою «Схильність до агресії і насильства», %</w:t>
      </w:r>
    </w:p>
    <w:p w:rsidR="00626D35" w:rsidRDefault="00626D35" w:rsidP="00B55DF0">
      <w:pPr>
        <w:ind w:firstLine="709"/>
        <w:rPr>
          <w:color w:val="000000" w:themeColor="text1"/>
        </w:rPr>
      </w:pPr>
    </w:p>
    <w:p w:rsidR="00B55DF0" w:rsidRPr="00B55DF0" w:rsidRDefault="00B55DF0" w:rsidP="00B55DF0">
      <w:pPr>
        <w:ind w:firstLine="709"/>
        <w:rPr>
          <w:color w:val="000000" w:themeColor="text1"/>
        </w:rPr>
      </w:pPr>
      <w:r w:rsidRPr="00B55DF0">
        <w:rPr>
          <w:color w:val="000000" w:themeColor="text1"/>
        </w:rPr>
        <w:t>В десятому класі дівчат із вираженою схильністю до агресії не виявлено, на відміну від хлопців (28 %).</w:t>
      </w:r>
    </w:p>
    <w:p w:rsidR="00B55DF0" w:rsidRPr="00B55DF0" w:rsidRDefault="00626D35" w:rsidP="00B55DF0">
      <w:pPr>
        <w:rPr>
          <w:color w:val="000000" w:themeColor="text1"/>
        </w:rPr>
      </w:pPr>
      <w:r>
        <w:rPr>
          <w:color w:val="000000" w:themeColor="text1"/>
        </w:rPr>
        <w:t>Як бачимо,</w:t>
      </w:r>
      <w:r w:rsidR="00B55DF0">
        <w:rPr>
          <w:color w:val="000000" w:themeColor="text1"/>
        </w:rPr>
        <w:t xml:space="preserve"> </w:t>
      </w:r>
      <w:r w:rsidR="00B55DF0" w:rsidRPr="00B55DF0">
        <w:rPr>
          <w:color w:val="000000" w:themeColor="text1"/>
        </w:rPr>
        <w:t xml:space="preserve">схильність до агресії та насильства з’являється в досить ранньому віці (5 клас), в шостому класі ознака не спостерігається, у восьмому класі вона незначно падає і достатньо зростає до десятого класу. Так як характеристика (виражена схильність) зникає у шостому класі, слід починати проводити попереджальні заходи саме в цій віковій групі. </w:t>
      </w:r>
    </w:p>
    <w:p w:rsidR="00B55DF0" w:rsidRDefault="00B55DF0" w:rsidP="00B55DF0">
      <w:pPr>
        <w:ind w:firstLine="709"/>
        <w:rPr>
          <w:color w:val="000000" w:themeColor="text1"/>
        </w:rPr>
      </w:pPr>
      <w:r>
        <w:rPr>
          <w:color w:val="000000" w:themeColor="text1"/>
        </w:rPr>
        <w:drawing>
          <wp:anchor distT="0" distB="0" distL="114300" distR="114300" simplePos="0" relativeHeight="251668480" behindDoc="0" locked="0" layoutInCell="1" allowOverlap="1">
            <wp:simplePos x="0" y="0"/>
            <wp:positionH relativeFrom="column">
              <wp:posOffset>13970</wp:posOffset>
            </wp:positionH>
            <wp:positionV relativeFrom="paragraph">
              <wp:posOffset>990600</wp:posOffset>
            </wp:positionV>
            <wp:extent cx="6172200" cy="1724025"/>
            <wp:effectExtent l="0" t="0" r="0" b="0"/>
            <wp:wrapSquare wrapText="bothSides"/>
            <wp:docPr id="7"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color w:val="000000" w:themeColor="text1"/>
        </w:rPr>
        <w:t xml:space="preserve">За шкалою </w:t>
      </w:r>
      <w:r w:rsidRPr="00B55DF0">
        <w:rPr>
          <w:color w:val="000000" w:themeColor="text1"/>
        </w:rPr>
        <w:t>«Вольовий контроль емоційних реакцій»</w:t>
      </w:r>
      <w:r>
        <w:rPr>
          <w:color w:val="000000" w:themeColor="text1"/>
        </w:rPr>
        <w:t xml:space="preserve"> л</w:t>
      </w:r>
      <w:r w:rsidRPr="00B55DF0">
        <w:rPr>
          <w:color w:val="000000" w:themeColor="text1"/>
        </w:rPr>
        <w:t xml:space="preserve">ише у 13 % опитаних </w:t>
      </w:r>
      <w:r>
        <w:rPr>
          <w:color w:val="000000" w:themeColor="text1"/>
        </w:rPr>
        <w:t xml:space="preserve">виявлена вираженість. </w:t>
      </w:r>
      <w:r w:rsidRPr="00B55DF0">
        <w:rPr>
          <w:color w:val="000000" w:themeColor="text1"/>
        </w:rPr>
        <w:t xml:space="preserve">Цей показник трохи більший у дівчат (14%), порівняно із хлопцями (12%) (рис. </w:t>
      </w:r>
      <w:r>
        <w:rPr>
          <w:color w:val="000000" w:themeColor="text1"/>
        </w:rPr>
        <w:t>5</w:t>
      </w:r>
      <w:r w:rsidRPr="00B55DF0">
        <w:rPr>
          <w:color w:val="000000" w:themeColor="text1"/>
        </w:rPr>
        <w:t>).</w:t>
      </w:r>
    </w:p>
    <w:p w:rsidR="00B55DF0" w:rsidRPr="00B55DF0" w:rsidRDefault="00B55DF0" w:rsidP="00B55DF0">
      <w:pPr>
        <w:ind w:firstLine="709"/>
        <w:rPr>
          <w:color w:val="000000" w:themeColor="text1"/>
        </w:rPr>
      </w:pPr>
    </w:p>
    <w:p w:rsidR="00B55DF0" w:rsidRPr="00B55DF0" w:rsidRDefault="00B55DF0" w:rsidP="00B55DF0">
      <w:pPr>
        <w:jc w:val="center"/>
        <w:rPr>
          <w:b/>
          <w:color w:val="000000" w:themeColor="text1"/>
        </w:rPr>
      </w:pPr>
      <w:r w:rsidRPr="00B55DF0">
        <w:rPr>
          <w:color w:val="000000" w:themeColor="text1"/>
        </w:rPr>
        <w:t xml:space="preserve">Рис. 5. </w:t>
      </w:r>
      <w:r w:rsidRPr="00B55DF0">
        <w:rPr>
          <w:b/>
          <w:color w:val="000000" w:themeColor="text1"/>
        </w:rPr>
        <w:t>Розподіл відсутності характеристики за шкалою «Схильність до агресії і насильства», %</w:t>
      </w:r>
    </w:p>
    <w:p w:rsidR="00B55DF0" w:rsidRPr="00B55DF0" w:rsidRDefault="00B55DF0" w:rsidP="00B55DF0">
      <w:pPr>
        <w:ind w:firstLine="709"/>
        <w:rPr>
          <w:color w:val="000000" w:themeColor="text1"/>
        </w:rPr>
      </w:pPr>
    </w:p>
    <w:p w:rsidR="00B55DF0" w:rsidRPr="00B55DF0" w:rsidRDefault="00B55DF0" w:rsidP="00B55DF0">
      <w:pPr>
        <w:ind w:firstLine="709"/>
        <w:rPr>
          <w:color w:val="000000" w:themeColor="text1"/>
        </w:rPr>
      </w:pPr>
      <w:r w:rsidRPr="00B55DF0">
        <w:rPr>
          <w:color w:val="000000" w:themeColor="text1"/>
        </w:rPr>
        <w:t>Кількість осіб із вольовим контролем зростає до восьмого класу (20 %), в дев’ятому – незначним чином спадає до 15 % і досягає відмітки 21 % у десятому.</w:t>
      </w:r>
    </w:p>
    <w:p w:rsidR="00B55DF0" w:rsidRPr="00B55DF0" w:rsidRDefault="00B55DF0" w:rsidP="00B55DF0">
      <w:pPr>
        <w:ind w:firstLine="709"/>
        <w:rPr>
          <w:color w:val="000000" w:themeColor="text1"/>
        </w:rPr>
      </w:pPr>
      <w:r w:rsidRPr="00B55DF0">
        <w:rPr>
          <w:color w:val="000000" w:themeColor="text1"/>
        </w:rPr>
        <w:t>У п’ятому та шостому класах хлопці із вираженим вольовим контролем значно переважають над дівчатами. Серед учнів п’ятих класів спостерігається поява ознаки лише серед хлопців (6 %), а в шостому класі вона зростає (17 %). Аналогічно спостерігається ознака у дівчат у сьомому класі, в той час як кількість хлопців із вираженою характеристикою спадає до 5 %. У восьмому та дев’ятому класах кількість дівчат із вираженим вольовим контролем переважає над кількістю хлопців. У восьмому класі чисельність дівчат складає 25 %, у дев’ятому – 20 %. В десятому класі показники відповідно до статевої ознаки майже вирівнюються. Таким чином, контролюють свої емоційні реакції 20 % дівчат і 22 % хлопців.</w:t>
      </w:r>
    </w:p>
    <w:p w:rsidR="00B66114" w:rsidRPr="00B55DF0" w:rsidRDefault="00B55DF0" w:rsidP="00B55DF0">
      <w:pPr>
        <w:ind w:firstLine="709"/>
        <w:rPr>
          <w:color w:val="000000" w:themeColor="text1"/>
        </w:rPr>
      </w:pPr>
      <w:r w:rsidRPr="00B55DF0">
        <w:rPr>
          <w:color w:val="000000" w:themeColor="text1"/>
        </w:rPr>
        <w:t>Вольовий контроль емоційних реакцій учнів</w:t>
      </w:r>
      <w:r w:rsidR="00626D35">
        <w:rPr>
          <w:color w:val="000000" w:themeColor="text1"/>
        </w:rPr>
        <w:t xml:space="preserve"> </w:t>
      </w:r>
      <w:r w:rsidRPr="00B55DF0">
        <w:rPr>
          <w:color w:val="000000" w:themeColor="text1"/>
        </w:rPr>
        <w:t>поступово зростає до восьмого класу з незначним спадом в дев’ятому і подальшим зростанням у десятому класі.</w:t>
      </w:r>
    </w:p>
    <w:p w:rsidR="00B55DF0" w:rsidRPr="00626D35" w:rsidRDefault="00B55DF0" w:rsidP="00B55DF0">
      <w:pPr>
        <w:ind w:firstLine="709"/>
        <w:rPr>
          <w:color w:val="000000" w:themeColor="text1"/>
        </w:rPr>
      </w:pPr>
      <w:r w:rsidRPr="00626D35">
        <w:rPr>
          <w:color w:val="000000" w:themeColor="text1"/>
        </w:rPr>
        <w:t xml:space="preserve">Згадаємо результати за першою шкалою «Установка на соціально бажані відповіді». Серед учнів десятих класів установка на соціальну бажаність стрімко впала до 37 %, а кількість дітей із взагалі відсутньою характеристикою склала 8 %. Зв’язок полягає в тому, що із спадом залежності від суспільного схвалення (зовнішній контроль) зростає внутрішній контроль (самоконтроль) і готовність  відповідати за свої вчинки. Проте, паралельно із становленням незалежної особистості, здатної приймати самостійно рішення, зростає показник схильностей до девіацій. Можна припустити, що причиною цього є те, що зовнішній контроль є не прогнозованим для людини, а внутрішній контроль (самоконтроль) часто-густо поблажливіший до його носія, тобто, більшою мірою залежить від самої особи. </w:t>
      </w:r>
    </w:p>
    <w:p w:rsidR="00B55DF0" w:rsidRPr="00B55DF0" w:rsidRDefault="00B55DF0" w:rsidP="00B55DF0">
      <w:pPr>
        <w:ind w:firstLine="709"/>
        <w:rPr>
          <w:color w:val="000000" w:themeColor="text1"/>
        </w:rPr>
      </w:pPr>
      <w:r w:rsidRPr="00B55DF0">
        <w:rPr>
          <w:color w:val="000000" w:themeColor="text1"/>
        </w:rPr>
        <w:lastRenderedPageBreak/>
        <w:drawing>
          <wp:anchor distT="0" distB="0" distL="114300" distR="114300" simplePos="0" relativeHeight="251669504" behindDoc="0" locked="0" layoutInCell="1" allowOverlap="1">
            <wp:simplePos x="0" y="0"/>
            <wp:positionH relativeFrom="column">
              <wp:posOffset>23495</wp:posOffset>
            </wp:positionH>
            <wp:positionV relativeFrom="paragraph">
              <wp:posOffset>1004570</wp:posOffset>
            </wp:positionV>
            <wp:extent cx="6076950" cy="2019300"/>
            <wp:effectExtent l="0" t="0" r="0" b="0"/>
            <wp:wrapSquare wrapText="bothSides"/>
            <wp:docPr id="10"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B55DF0">
        <w:rPr>
          <w:color w:val="000000" w:themeColor="text1"/>
        </w:rPr>
        <w:t>Результати отриманих даних з вираженою характеристикою «Схильність до де</w:t>
      </w:r>
      <w:r w:rsidR="00626D35">
        <w:rPr>
          <w:color w:val="000000" w:themeColor="text1"/>
        </w:rPr>
        <w:t>л</w:t>
      </w:r>
      <w:r w:rsidRPr="00B55DF0">
        <w:rPr>
          <w:color w:val="000000" w:themeColor="text1"/>
        </w:rPr>
        <w:t>інквентної поведінки» свідчать, що 8% респондентів мають виражену схильність до делінквентної поведінки (рис. 6).</w:t>
      </w:r>
    </w:p>
    <w:p w:rsidR="000C1DDA" w:rsidRDefault="000C1DDA" w:rsidP="00B55DF0">
      <w:pPr>
        <w:jc w:val="center"/>
        <w:rPr>
          <w:color w:val="000000" w:themeColor="text1"/>
        </w:rPr>
      </w:pPr>
    </w:p>
    <w:p w:rsidR="00B55DF0" w:rsidRPr="00B55DF0" w:rsidRDefault="00B55DF0" w:rsidP="00B55DF0">
      <w:pPr>
        <w:jc w:val="center"/>
        <w:rPr>
          <w:b/>
          <w:color w:val="000000" w:themeColor="text1"/>
        </w:rPr>
      </w:pPr>
      <w:r w:rsidRPr="00B55DF0">
        <w:rPr>
          <w:color w:val="000000" w:themeColor="text1"/>
        </w:rPr>
        <w:t xml:space="preserve">Рис. 6. </w:t>
      </w:r>
      <w:r w:rsidRPr="00B55DF0">
        <w:rPr>
          <w:b/>
          <w:color w:val="000000" w:themeColor="text1"/>
        </w:rPr>
        <w:t>Розподіл респондентів із вираженою характеристикою за шкалою «Схильність до делінквентної поведінки», %</w:t>
      </w:r>
    </w:p>
    <w:p w:rsidR="00B55DF0" w:rsidRDefault="00B55DF0" w:rsidP="00B55DF0">
      <w:pPr>
        <w:ind w:firstLine="709"/>
        <w:rPr>
          <w:color w:val="FF0000"/>
        </w:rPr>
      </w:pPr>
    </w:p>
    <w:p w:rsidR="00B55DF0" w:rsidRPr="00B55DF0" w:rsidRDefault="00B55DF0" w:rsidP="00B55DF0">
      <w:pPr>
        <w:ind w:firstLine="709"/>
        <w:rPr>
          <w:color w:val="000000" w:themeColor="text1"/>
        </w:rPr>
      </w:pPr>
      <w:r w:rsidRPr="00B55DF0">
        <w:rPr>
          <w:color w:val="000000" w:themeColor="text1"/>
        </w:rPr>
        <w:t>Дана ознака з’являється серед хлопців у п’ятому класі, а в шостому – вона відсутня, надалі виникає в сьомому класі у дівчат і зростає серед хлопців до 11 %. У восьмому класі величина варіанту за обома статтями зрівнюється (10 %), а в дев’ятому – зменшується до 2 % лише у дівчат.</w:t>
      </w:r>
    </w:p>
    <w:p w:rsidR="00B55DF0" w:rsidRPr="00B55DF0" w:rsidRDefault="00B55DF0" w:rsidP="00B55DF0">
      <w:pPr>
        <w:ind w:firstLine="709"/>
        <w:rPr>
          <w:color w:val="000000" w:themeColor="text1"/>
        </w:rPr>
      </w:pPr>
      <w:r w:rsidRPr="00B55DF0">
        <w:rPr>
          <w:color w:val="000000" w:themeColor="text1"/>
        </w:rPr>
        <w:t>За статтю чисельність осіб за варіантом «норма» майже однакова: дівчат – 70 %, хлопців – 66 %.</w:t>
      </w:r>
    </w:p>
    <w:p w:rsidR="00B55DF0" w:rsidRPr="00B55DF0" w:rsidRDefault="00B55DF0" w:rsidP="00B55DF0">
      <w:pPr>
        <w:ind w:firstLine="709"/>
        <w:rPr>
          <w:color w:val="000000" w:themeColor="text1"/>
        </w:rPr>
      </w:pPr>
      <w:r w:rsidRPr="00B55DF0">
        <w:rPr>
          <w:color w:val="000000" w:themeColor="text1"/>
        </w:rPr>
        <w:t>Дана ознака досягає найбільшої величини у дев’ятому класі (85 %), найменшої – у п’ятому (39 %). Розвиток характеристики має циклічну тенденцію: з п’ятого по шостий клас вона зростає, з шостого по восьмий – спадає, з восьмого по дев’ятий – частота значень зростає і знову спадає до десятого класу.</w:t>
      </w:r>
    </w:p>
    <w:p w:rsidR="00085A60" w:rsidRPr="00085A60" w:rsidRDefault="00085A60" w:rsidP="00085A60">
      <w:pPr>
        <w:ind w:firstLine="709"/>
        <w:rPr>
          <w:color w:val="000000" w:themeColor="text1"/>
        </w:rPr>
      </w:pPr>
      <w:r w:rsidRPr="00085A60">
        <w:rPr>
          <w:color w:val="000000" w:themeColor="text1"/>
        </w:rPr>
        <w:t xml:space="preserve">Отже, в тих вікових групах, де чисельність дітей за ознакою «виражена характеристика» низька (порівняно із іншими класами) або відсутня, спостерігається стрімкий ріст ознаки за варіантом «норма». Схожий рух характеристики «слабовиражена» та «виражена». З п’ятого по шостий клас </w:t>
      </w:r>
      <w:r w:rsidRPr="00085A60">
        <w:rPr>
          <w:color w:val="000000" w:themeColor="text1"/>
        </w:rPr>
        <w:lastRenderedPageBreak/>
        <w:t>спадає чисельність осіб за обома варіантами, різниця лише в тому, що кількість дітей із слабовираженою характеристикою більш інтенсивно спадає, аніж чисельність учнів із вираженим варіантом. З шостого по восьмий клас зростає кількість дітей із вираженою схильністю, вектор за слабовираженою характеристикою повторює напрям попереднього варіанту. В дев’ятому класі показник за обома варіантами стрімко зменшується майже в однаковій різниці (між восьмим і дев’ятим класом). Насторожує результат, що демонструє десятий клас – 26 % респондентів зі схильністю до делінквентної поведінки.</w:t>
      </w:r>
    </w:p>
    <w:p w:rsidR="00085A60" w:rsidRPr="00085A60" w:rsidRDefault="00085A60" w:rsidP="00085A60">
      <w:pPr>
        <w:jc w:val="center"/>
        <w:rPr>
          <w:color w:val="000000" w:themeColor="text1"/>
        </w:rPr>
      </w:pPr>
      <w:r w:rsidRPr="00085A60">
        <w:rPr>
          <w:color w:val="000000" w:themeColor="text1"/>
        </w:rPr>
        <w:t>Таблиця 1</w:t>
      </w:r>
    </w:p>
    <w:p w:rsidR="00085A60" w:rsidRPr="00085A60" w:rsidRDefault="00085A60" w:rsidP="00085A60">
      <w:pPr>
        <w:jc w:val="center"/>
        <w:rPr>
          <w:b/>
          <w:color w:val="000000" w:themeColor="text1"/>
        </w:rPr>
      </w:pPr>
      <w:r w:rsidRPr="00085A60">
        <w:rPr>
          <w:b/>
          <w:color w:val="000000" w:themeColor="text1"/>
        </w:rPr>
        <w:t>Розподіл вираженої схильності до прояву девіацій у дівчат,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851"/>
        <w:gridCol w:w="850"/>
        <w:gridCol w:w="851"/>
        <w:gridCol w:w="921"/>
        <w:gridCol w:w="900"/>
        <w:gridCol w:w="730"/>
        <w:gridCol w:w="1253"/>
      </w:tblGrid>
      <w:tr w:rsidR="00085A60" w:rsidRPr="00085A60" w:rsidTr="00085A60">
        <w:tc>
          <w:tcPr>
            <w:tcW w:w="3652" w:type="dxa"/>
            <w:vMerge w:val="restart"/>
            <w:shd w:val="clear" w:color="auto" w:fill="auto"/>
            <w:vAlign w:val="center"/>
          </w:tcPr>
          <w:p w:rsidR="00085A60" w:rsidRPr="00085A60" w:rsidRDefault="00085A60" w:rsidP="00085A60">
            <w:pPr>
              <w:spacing w:line="240" w:lineRule="auto"/>
              <w:rPr>
                <w:color w:val="000000" w:themeColor="text1"/>
              </w:rPr>
            </w:pPr>
            <w:r w:rsidRPr="00085A60">
              <w:rPr>
                <w:color w:val="000000" w:themeColor="text1"/>
              </w:rPr>
              <w:t>Девіації</w:t>
            </w:r>
          </w:p>
        </w:tc>
        <w:tc>
          <w:tcPr>
            <w:tcW w:w="6356" w:type="dxa"/>
            <w:gridSpan w:val="7"/>
            <w:shd w:val="clear" w:color="auto" w:fill="auto"/>
            <w:vAlign w:val="center"/>
          </w:tcPr>
          <w:p w:rsidR="00085A60" w:rsidRPr="00085A60" w:rsidRDefault="00085A60" w:rsidP="00085A60">
            <w:pPr>
              <w:spacing w:line="240" w:lineRule="auto"/>
              <w:jc w:val="center"/>
              <w:rPr>
                <w:color w:val="000000" w:themeColor="text1"/>
              </w:rPr>
            </w:pPr>
            <w:r w:rsidRPr="00085A60">
              <w:rPr>
                <w:color w:val="000000" w:themeColor="text1"/>
              </w:rPr>
              <w:t>класи</w:t>
            </w:r>
          </w:p>
        </w:tc>
      </w:tr>
      <w:tr w:rsidR="00085A60" w:rsidRPr="00085A60" w:rsidTr="00085A60">
        <w:tc>
          <w:tcPr>
            <w:tcW w:w="3652" w:type="dxa"/>
            <w:vMerge/>
            <w:shd w:val="clear" w:color="auto" w:fill="auto"/>
            <w:vAlign w:val="center"/>
          </w:tcPr>
          <w:p w:rsidR="00085A60" w:rsidRPr="00085A60" w:rsidRDefault="00085A60" w:rsidP="00085A60">
            <w:pPr>
              <w:spacing w:line="240" w:lineRule="auto"/>
              <w:jc w:val="center"/>
              <w:rPr>
                <w:b/>
                <w:color w:val="000000" w:themeColor="text1"/>
              </w:rPr>
            </w:pPr>
          </w:p>
        </w:tc>
        <w:tc>
          <w:tcPr>
            <w:tcW w:w="851"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5</w:t>
            </w:r>
          </w:p>
          <w:p w:rsidR="00085A60" w:rsidRPr="00085A60" w:rsidRDefault="00085A60" w:rsidP="00085A60">
            <w:pPr>
              <w:spacing w:line="240" w:lineRule="auto"/>
              <w:ind w:firstLine="0"/>
              <w:jc w:val="center"/>
              <w:rPr>
                <w:color w:val="000000" w:themeColor="text1"/>
              </w:rPr>
            </w:pPr>
            <w:r w:rsidRPr="00085A60">
              <w:rPr>
                <w:color w:val="000000" w:themeColor="text1"/>
                <w:lang w:val="en-US"/>
              </w:rPr>
              <w:t>N</w:t>
            </w:r>
            <w:r w:rsidRPr="00085A60">
              <w:rPr>
                <w:color w:val="000000" w:themeColor="text1"/>
              </w:rPr>
              <w:t>=</w:t>
            </w:r>
          </w:p>
          <w:p w:rsidR="00085A60" w:rsidRPr="00085A60" w:rsidRDefault="00085A60" w:rsidP="00085A60">
            <w:pPr>
              <w:spacing w:line="240" w:lineRule="auto"/>
              <w:ind w:firstLine="0"/>
              <w:jc w:val="center"/>
              <w:rPr>
                <w:color w:val="000000" w:themeColor="text1"/>
                <w:lang w:val="en-US"/>
              </w:rPr>
            </w:pPr>
            <w:r w:rsidRPr="00085A60">
              <w:rPr>
                <w:color w:val="000000" w:themeColor="text1"/>
                <w:lang w:val="en-US"/>
              </w:rPr>
              <w:t>20</w:t>
            </w:r>
          </w:p>
        </w:tc>
        <w:tc>
          <w:tcPr>
            <w:tcW w:w="850" w:type="dxa"/>
            <w:shd w:val="clear" w:color="auto" w:fill="auto"/>
            <w:vAlign w:val="center"/>
          </w:tcPr>
          <w:p w:rsidR="00085A60" w:rsidRPr="00085A60" w:rsidRDefault="00085A60" w:rsidP="00085A60">
            <w:pPr>
              <w:spacing w:line="240" w:lineRule="auto"/>
              <w:ind w:firstLine="0"/>
              <w:jc w:val="center"/>
              <w:rPr>
                <w:color w:val="000000" w:themeColor="text1"/>
                <w:lang w:val="en-US"/>
              </w:rPr>
            </w:pPr>
            <w:r w:rsidRPr="00085A60">
              <w:rPr>
                <w:color w:val="000000" w:themeColor="text1"/>
              </w:rPr>
              <w:t>6</w:t>
            </w:r>
          </w:p>
          <w:p w:rsidR="00085A60" w:rsidRPr="00085A60" w:rsidRDefault="00085A60" w:rsidP="00085A60">
            <w:pPr>
              <w:spacing w:line="240" w:lineRule="auto"/>
              <w:ind w:firstLine="0"/>
              <w:jc w:val="center"/>
              <w:rPr>
                <w:color w:val="000000" w:themeColor="text1"/>
              </w:rPr>
            </w:pPr>
            <w:r w:rsidRPr="00085A60">
              <w:rPr>
                <w:color w:val="000000" w:themeColor="text1"/>
                <w:lang w:val="en-US"/>
              </w:rPr>
              <w:t>N=</w:t>
            </w:r>
          </w:p>
          <w:p w:rsidR="00085A60" w:rsidRPr="00085A60" w:rsidRDefault="00085A60" w:rsidP="00085A60">
            <w:pPr>
              <w:spacing w:line="240" w:lineRule="auto"/>
              <w:ind w:firstLine="0"/>
              <w:jc w:val="center"/>
              <w:rPr>
                <w:color w:val="000000" w:themeColor="text1"/>
                <w:lang w:val="en-US"/>
              </w:rPr>
            </w:pPr>
            <w:r w:rsidRPr="00085A60">
              <w:rPr>
                <w:color w:val="000000" w:themeColor="text1"/>
                <w:lang w:val="en-US"/>
              </w:rPr>
              <w:t>20</w:t>
            </w:r>
          </w:p>
        </w:tc>
        <w:tc>
          <w:tcPr>
            <w:tcW w:w="851" w:type="dxa"/>
            <w:shd w:val="clear" w:color="auto" w:fill="auto"/>
            <w:vAlign w:val="center"/>
          </w:tcPr>
          <w:p w:rsidR="00085A60" w:rsidRPr="00085A60" w:rsidRDefault="00085A60" w:rsidP="00085A60">
            <w:pPr>
              <w:spacing w:line="240" w:lineRule="auto"/>
              <w:ind w:firstLine="0"/>
              <w:jc w:val="center"/>
              <w:rPr>
                <w:color w:val="000000" w:themeColor="text1"/>
                <w:lang w:val="en-US"/>
              </w:rPr>
            </w:pPr>
            <w:r w:rsidRPr="00085A60">
              <w:rPr>
                <w:color w:val="000000" w:themeColor="text1"/>
              </w:rPr>
              <w:t>7</w:t>
            </w:r>
          </w:p>
          <w:p w:rsidR="00085A60" w:rsidRPr="00085A60" w:rsidRDefault="00085A60" w:rsidP="00085A60">
            <w:pPr>
              <w:spacing w:line="240" w:lineRule="auto"/>
              <w:ind w:firstLine="0"/>
              <w:jc w:val="center"/>
              <w:rPr>
                <w:color w:val="000000" w:themeColor="text1"/>
              </w:rPr>
            </w:pPr>
            <w:r w:rsidRPr="00085A60">
              <w:rPr>
                <w:color w:val="000000" w:themeColor="text1"/>
                <w:lang w:val="en-US"/>
              </w:rPr>
              <w:t>N=</w:t>
            </w:r>
          </w:p>
          <w:p w:rsidR="00085A60" w:rsidRPr="00085A60" w:rsidRDefault="00085A60" w:rsidP="00085A60">
            <w:pPr>
              <w:spacing w:line="240" w:lineRule="auto"/>
              <w:ind w:firstLine="0"/>
              <w:jc w:val="center"/>
              <w:rPr>
                <w:color w:val="000000" w:themeColor="text1"/>
                <w:lang w:val="en-US"/>
              </w:rPr>
            </w:pPr>
            <w:r w:rsidRPr="00085A60">
              <w:rPr>
                <w:color w:val="000000" w:themeColor="text1"/>
                <w:lang w:val="en-US"/>
              </w:rPr>
              <w:t>18</w:t>
            </w:r>
          </w:p>
        </w:tc>
        <w:tc>
          <w:tcPr>
            <w:tcW w:w="921" w:type="dxa"/>
            <w:shd w:val="clear" w:color="auto" w:fill="auto"/>
            <w:vAlign w:val="center"/>
          </w:tcPr>
          <w:p w:rsidR="00085A60" w:rsidRPr="00085A60" w:rsidRDefault="00085A60" w:rsidP="00085A60">
            <w:pPr>
              <w:spacing w:line="240" w:lineRule="auto"/>
              <w:ind w:firstLine="0"/>
              <w:jc w:val="center"/>
              <w:rPr>
                <w:color w:val="000000" w:themeColor="text1"/>
                <w:lang w:val="en-US"/>
              </w:rPr>
            </w:pPr>
            <w:r w:rsidRPr="00085A60">
              <w:rPr>
                <w:color w:val="000000" w:themeColor="text1"/>
              </w:rPr>
              <w:t>8</w:t>
            </w:r>
          </w:p>
          <w:p w:rsidR="00085A60" w:rsidRPr="00085A60" w:rsidRDefault="00085A60" w:rsidP="00085A60">
            <w:pPr>
              <w:spacing w:line="240" w:lineRule="auto"/>
              <w:ind w:firstLine="0"/>
              <w:jc w:val="center"/>
              <w:rPr>
                <w:color w:val="000000" w:themeColor="text1"/>
              </w:rPr>
            </w:pPr>
            <w:r w:rsidRPr="00085A60">
              <w:rPr>
                <w:color w:val="000000" w:themeColor="text1"/>
                <w:lang w:val="en-US"/>
              </w:rPr>
              <w:t>N=</w:t>
            </w:r>
          </w:p>
          <w:p w:rsidR="00085A60" w:rsidRPr="00085A60" w:rsidRDefault="00085A60" w:rsidP="00085A60">
            <w:pPr>
              <w:spacing w:line="240" w:lineRule="auto"/>
              <w:ind w:firstLine="0"/>
              <w:jc w:val="center"/>
              <w:rPr>
                <w:color w:val="000000" w:themeColor="text1"/>
                <w:lang w:val="en-US"/>
              </w:rPr>
            </w:pPr>
            <w:r w:rsidRPr="00085A60">
              <w:rPr>
                <w:color w:val="000000" w:themeColor="text1"/>
                <w:lang w:val="en-US"/>
              </w:rPr>
              <w:t>20</w:t>
            </w:r>
          </w:p>
        </w:tc>
        <w:tc>
          <w:tcPr>
            <w:tcW w:w="900"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9</w:t>
            </w:r>
          </w:p>
          <w:p w:rsidR="00085A60" w:rsidRPr="00085A60" w:rsidRDefault="00085A60" w:rsidP="00085A60">
            <w:pPr>
              <w:spacing w:line="240" w:lineRule="auto"/>
              <w:ind w:firstLine="0"/>
              <w:jc w:val="center"/>
              <w:rPr>
                <w:color w:val="000000" w:themeColor="text1"/>
              </w:rPr>
            </w:pPr>
            <w:r w:rsidRPr="00085A60">
              <w:rPr>
                <w:color w:val="000000" w:themeColor="text1"/>
                <w:lang w:val="en-US"/>
              </w:rPr>
              <w:t>N</w:t>
            </w:r>
            <w:r w:rsidRPr="00085A60">
              <w:rPr>
                <w:color w:val="000000" w:themeColor="text1"/>
              </w:rPr>
              <w:t>=</w:t>
            </w:r>
          </w:p>
          <w:p w:rsidR="00085A60" w:rsidRPr="00085A60" w:rsidRDefault="00085A60" w:rsidP="00085A60">
            <w:pPr>
              <w:spacing w:line="240" w:lineRule="auto"/>
              <w:ind w:firstLine="0"/>
              <w:jc w:val="center"/>
              <w:rPr>
                <w:color w:val="000000" w:themeColor="text1"/>
              </w:rPr>
            </w:pPr>
            <w:r w:rsidRPr="00085A60">
              <w:rPr>
                <w:color w:val="000000" w:themeColor="text1"/>
              </w:rPr>
              <w:t>20</w:t>
            </w:r>
          </w:p>
        </w:tc>
        <w:tc>
          <w:tcPr>
            <w:tcW w:w="730"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10</w:t>
            </w:r>
          </w:p>
          <w:p w:rsidR="00085A60" w:rsidRPr="00085A60" w:rsidRDefault="00085A60" w:rsidP="00085A60">
            <w:pPr>
              <w:spacing w:line="240" w:lineRule="auto"/>
              <w:ind w:firstLine="0"/>
              <w:jc w:val="center"/>
              <w:rPr>
                <w:color w:val="000000" w:themeColor="text1"/>
              </w:rPr>
            </w:pPr>
            <w:r w:rsidRPr="00085A60">
              <w:rPr>
                <w:color w:val="000000" w:themeColor="text1"/>
                <w:lang w:val="en-US"/>
              </w:rPr>
              <w:t>N=</w:t>
            </w:r>
          </w:p>
          <w:p w:rsidR="00085A60" w:rsidRPr="00085A60" w:rsidRDefault="00085A60" w:rsidP="00085A60">
            <w:pPr>
              <w:spacing w:line="240" w:lineRule="auto"/>
              <w:ind w:firstLine="0"/>
              <w:jc w:val="center"/>
              <w:rPr>
                <w:color w:val="000000" w:themeColor="text1"/>
                <w:lang w:val="en-US"/>
              </w:rPr>
            </w:pPr>
            <w:r w:rsidRPr="00085A60">
              <w:rPr>
                <w:color w:val="000000" w:themeColor="text1"/>
                <w:lang w:val="en-US"/>
              </w:rPr>
              <w:t>20</w:t>
            </w:r>
          </w:p>
        </w:tc>
        <w:tc>
          <w:tcPr>
            <w:tcW w:w="1253" w:type="dxa"/>
            <w:shd w:val="clear" w:color="auto" w:fill="auto"/>
            <w:vAlign w:val="center"/>
          </w:tcPr>
          <w:p w:rsidR="00085A60" w:rsidRPr="00085A60" w:rsidRDefault="00085A60" w:rsidP="00085A60">
            <w:pPr>
              <w:spacing w:line="240" w:lineRule="auto"/>
              <w:ind w:firstLine="0"/>
              <w:jc w:val="center"/>
              <w:rPr>
                <w:color w:val="000000" w:themeColor="text1"/>
                <w:lang w:val="en-US"/>
              </w:rPr>
            </w:pPr>
            <w:r w:rsidRPr="00085A60">
              <w:rPr>
                <w:color w:val="000000" w:themeColor="text1"/>
              </w:rPr>
              <w:t>Всього</w:t>
            </w:r>
          </w:p>
          <w:p w:rsidR="00085A60" w:rsidRPr="00085A60" w:rsidRDefault="00085A60" w:rsidP="00085A60">
            <w:pPr>
              <w:spacing w:line="240" w:lineRule="auto"/>
              <w:ind w:firstLine="0"/>
              <w:jc w:val="center"/>
              <w:rPr>
                <w:color w:val="000000" w:themeColor="text1"/>
                <w:lang w:val="en-US"/>
              </w:rPr>
            </w:pPr>
            <w:r w:rsidRPr="00085A60">
              <w:rPr>
                <w:color w:val="000000" w:themeColor="text1"/>
                <w:lang w:val="en-US"/>
              </w:rPr>
              <w:t>N=118</w:t>
            </w:r>
          </w:p>
        </w:tc>
      </w:tr>
      <w:tr w:rsidR="00085A60" w:rsidRPr="00085A60" w:rsidTr="00085A60">
        <w:tc>
          <w:tcPr>
            <w:tcW w:w="3652" w:type="dxa"/>
            <w:shd w:val="clear" w:color="auto" w:fill="auto"/>
          </w:tcPr>
          <w:p w:rsidR="00085A60" w:rsidRPr="00085A60" w:rsidRDefault="00085A60" w:rsidP="00085A60">
            <w:pPr>
              <w:spacing w:line="240" w:lineRule="auto"/>
              <w:ind w:firstLine="0"/>
              <w:rPr>
                <w:color w:val="000000" w:themeColor="text1"/>
              </w:rPr>
            </w:pPr>
            <w:r w:rsidRPr="00085A60">
              <w:rPr>
                <w:color w:val="000000" w:themeColor="text1"/>
              </w:rPr>
              <w:t>схильність до порушення норм і правил</w:t>
            </w:r>
          </w:p>
        </w:tc>
        <w:tc>
          <w:tcPr>
            <w:tcW w:w="851"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0</w:t>
            </w:r>
          </w:p>
        </w:tc>
        <w:tc>
          <w:tcPr>
            <w:tcW w:w="850"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0</w:t>
            </w:r>
          </w:p>
        </w:tc>
        <w:tc>
          <w:tcPr>
            <w:tcW w:w="851"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0</w:t>
            </w:r>
          </w:p>
        </w:tc>
        <w:tc>
          <w:tcPr>
            <w:tcW w:w="921"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5</w:t>
            </w:r>
          </w:p>
        </w:tc>
        <w:tc>
          <w:tcPr>
            <w:tcW w:w="900"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0</w:t>
            </w:r>
          </w:p>
        </w:tc>
        <w:tc>
          <w:tcPr>
            <w:tcW w:w="730"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5</w:t>
            </w:r>
          </w:p>
        </w:tc>
        <w:tc>
          <w:tcPr>
            <w:tcW w:w="1253" w:type="dxa"/>
            <w:shd w:val="clear" w:color="auto" w:fill="auto"/>
            <w:vAlign w:val="center"/>
          </w:tcPr>
          <w:p w:rsidR="00085A60" w:rsidRPr="00085A60" w:rsidRDefault="00085A60" w:rsidP="00085A60">
            <w:pPr>
              <w:spacing w:line="240" w:lineRule="auto"/>
              <w:ind w:firstLine="0"/>
              <w:jc w:val="center"/>
              <w:rPr>
                <w:b/>
                <w:color w:val="000000" w:themeColor="text1"/>
              </w:rPr>
            </w:pPr>
            <w:r w:rsidRPr="00085A60">
              <w:rPr>
                <w:b/>
                <w:color w:val="000000" w:themeColor="text1"/>
              </w:rPr>
              <w:t>3</w:t>
            </w:r>
          </w:p>
        </w:tc>
      </w:tr>
      <w:tr w:rsidR="00085A60" w:rsidRPr="00085A60" w:rsidTr="00085A60">
        <w:tc>
          <w:tcPr>
            <w:tcW w:w="3652" w:type="dxa"/>
            <w:shd w:val="clear" w:color="auto" w:fill="auto"/>
          </w:tcPr>
          <w:p w:rsidR="00085A60" w:rsidRPr="00085A60" w:rsidRDefault="00085A60" w:rsidP="00085A60">
            <w:pPr>
              <w:spacing w:line="240" w:lineRule="auto"/>
              <w:ind w:firstLine="0"/>
              <w:rPr>
                <w:color w:val="000000" w:themeColor="text1"/>
              </w:rPr>
            </w:pPr>
            <w:r w:rsidRPr="00085A60">
              <w:rPr>
                <w:color w:val="000000" w:themeColor="text1"/>
              </w:rPr>
              <w:t>схильність до адиктивної поведінки</w:t>
            </w:r>
          </w:p>
        </w:tc>
        <w:tc>
          <w:tcPr>
            <w:tcW w:w="851"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0</w:t>
            </w:r>
          </w:p>
        </w:tc>
        <w:tc>
          <w:tcPr>
            <w:tcW w:w="850"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0</w:t>
            </w:r>
          </w:p>
        </w:tc>
        <w:tc>
          <w:tcPr>
            <w:tcW w:w="851"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0</w:t>
            </w:r>
          </w:p>
        </w:tc>
        <w:tc>
          <w:tcPr>
            <w:tcW w:w="921"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5</w:t>
            </w:r>
          </w:p>
        </w:tc>
        <w:tc>
          <w:tcPr>
            <w:tcW w:w="900"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5</w:t>
            </w:r>
          </w:p>
        </w:tc>
        <w:tc>
          <w:tcPr>
            <w:tcW w:w="730"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0</w:t>
            </w:r>
          </w:p>
        </w:tc>
        <w:tc>
          <w:tcPr>
            <w:tcW w:w="1253" w:type="dxa"/>
            <w:shd w:val="clear" w:color="auto" w:fill="auto"/>
            <w:vAlign w:val="center"/>
          </w:tcPr>
          <w:p w:rsidR="00085A60" w:rsidRPr="00085A60" w:rsidRDefault="00085A60" w:rsidP="00085A60">
            <w:pPr>
              <w:spacing w:line="240" w:lineRule="auto"/>
              <w:ind w:firstLine="0"/>
              <w:jc w:val="center"/>
              <w:rPr>
                <w:b/>
                <w:color w:val="000000" w:themeColor="text1"/>
              </w:rPr>
            </w:pPr>
            <w:r w:rsidRPr="00085A60">
              <w:rPr>
                <w:b/>
                <w:color w:val="000000" w:themeColor="text1"/>
              </w:rPr>
              <w:t>3</w:t>
            </w:r>
          </w:p>
        </w:tc>
      </w:tr>
      <w:tr w:rsidR="00085A60" w:rsidRPr="00085A60" w:rsidTr="00085A60">
        <w:tc>
          <w:tcPr>
            <w:tcW w:w="3652" w:type="dxa"/>
            <w:shd w:val="clear" w:color="auto" w:fill="auto"/>
          </w:tcPr>
          <w:p w:rsidR="00085A60" w:rsidRPr="00085A60" w:rsidRDefault="00085A60" w:rsidP="00085A60">
            <w:pPr>
              <w:spacing w:line="240" w:lineRule="auto"/>
              <w:ind w:firstLine="0"/>
              <w:rPr>
                <w:color w:val="000000" w:themeColor="text1"/>
              </w:rPr>
            </w:pPr>
            <w:r w:rsidRPr="00085A60">
              <w:rPr>
                <w:color w:val="000000" w:themeColor="text1"/>
              </w:rPr>
              <w:t>схильність до самоушкодження і саморуйнування</w:t>
            </w:r>
          </w:p>
        </w:tc>
        <w:tc>
          <w:tcPr>
            <w:tcW w:w="851"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0</w:t>
            </w:r>
          </w:p>
        </w:tc>
        <w:tc>
          <w:tcPr>
            <w:tcW w:w="850"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0</w:t>
            </w:r>
          </w:p>
        </w:tc>
        <w:tc>
          <w:tcPr>
            <w:tcW w:w="851"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12</w:t>
            </w:r>
          </w:p>
        </w:tc>
        <w:tc>
          <w:tcPr>
            <w:tcW w:w="921"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10</w:t>
            </w:r>
          </w:p>
        </w:tc>
        <w:tc>
          <w:tcPr>
            <w:tcW w:w="900"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5</w:t>
            </w:r>
          </w:p>
        </w:tc>
        <w:tc>
          <w:tcPr>
            <w:tcW w:w="730"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0</w:t>
            </w:r>
          </w:p>
        </w:tc>
        <w:tc>
          <w:tcPr>
            <w:tcW w:w="1253" w:type="dxa"/>
            <w:shd w:val="clear" w:color="auto" w:fill="auto"/>
            <w:vAlign w:val="center"/>
          </w:tcPr>
          <w:p w:rsidR="00085A60" w:rsidRPr="00085A60" w:rsidRDefault="00085A60" w:rsidP="00085A60">
            <w:pPr>
              <w:spacing w:line="240" w:lineRule="auto"/>
              <w:ind w:firstLine="0"/>
              <w:jc w:val="center"/>
              <w:rPr>
                <w:b/>
                <w:color w:val="000000" w:themeColor="text1"/>
              </w:rPr>
            </w:pPr>
            <w:r w:rsidRPr="00085A60">
              <w:rPr>
                <w:b/>
                <w:color w:val="000000" w:themeColor="text1"/>
              </w:rPr>
              <w:t>9</w:t>
            </w:r>
          </w:p>
        </w:tc>
      </w:tr>
      <w:tr w:rsidR="00085A60" w:rsidRPr="00085A60" w:rsidTr="00085A60">
        <w:tc>
          <w:tcPr>
            <w:tcW w:w="3652" w:type="dxa"/>
            <w:shd w:val="clear" w:color="auto" w:fill="auto"/>
          </w:tcPr>
          <w:p w:rsidR="00085A60" w:rsidRPr="00085A60" w:rsidRDefault="00085A60" w:rsidP="00085A60">
            <w:pPr>
              <w:spacing w:line="240" w:lineRule="auto"/>
              <w:ind w:firstLine="0"/>
              <w:rPr>
                <w:color w:val="000000" w:themeColor="text1"/>
              </w:rPr>
            </w:pPr>
            <w:r w:rsidRPr="00085A60">
              <w:rPr>
                <w:color w:val="000000" w:themeColor="text1"/>
              </w:rPr>
              <w:t>схильність до агресії і насильства</w:t>
            </w:r>
          </w:p>
        </w:tc>
        <w:tc>
          <w:tcPr>
            <w:tcW w:w="851"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0</w:t>
            </w:r>
          </w:p>
        </w:tc>
        <w:tc>
          <w:tcPr>
            <w:tcW w:w="850"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0</w:t>
            </w:r>
          </w:p>
        </w:tc>
        <w:tc>
          <w:tcPr>
            <w:tcW w:w="851"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6</w:t>
            </w:r>
          </w:p>
        </w:tc>
        <w:tc>
          <w:tcPr>
            <w:tcW w:w="921"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5</w:t>
            </w:r>
          </w:p>
        </w:tc>
        <w:tc>
          <w:tcPr>
            <w:tcW w:w="900"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0</w:t>
            </w:r>
          </w:p>
        </w:tc>
        <w:tc>
          <w:tcPr>
            <w:tcW w:w="730"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0</w:t>
            </w:r>
          </w:p>
        </w:tc>
        <w:tc>
          <w:tcPr>
            <w:tcW w:w="1253" w:type="dxa"/>
            <w:shd w:val="clear" w:color="auto" w:fill="auto"/>
            <w:vAlign w:val="center"/>
          </w:tcPr>
          <w:p w:rsidR="00085A60" w:rsidRPr="00085A60" w:rsidRDefault="00085A60" w:rsidP="00085A60">
            <w:pPr>
              <w:spacing w:line="240" w:lineRule="auto"/>
              <w:ind w:firstLine="0"/>
              <w:jc w:val="center"/>
              <w:rPr>
                <w:b/>
                <w:color w:val="000000" w:themeColor="text1"/>
              </w:rPr>
            </w:pPr>
            <w:r w:rsidRPr="00085A60">
              <w:rPr>
                <w:b/>
                <w:color w:val="000000" w:themeColor="text1"/>
              </w:rPr>
              <w:t>3</w:t>
            </w:r>
          </w:p>
        </w:tc>
      </w:tr>
      <w:tr w:rsidR="00085A60" w:rsidRPr="00085A60" w:rsidTr="00085A60">
        <w:tc>
          <w:tcPr>
            <w:tcW w:w="3652" w:type="dxa"/>
            <w:shd w:val="clear" w:color="auto" w:fill="auto"/>
          </w:tcPr>
          <w:p w:rsidR="00085A60" w:rsidRPr="00085A60" w:rsidRDefault="00085A60" w:rsidP="00085A60">
            <w:pPr>
              <w:spacing w:line="240" w:lineRule="auto"/>
              <w:ind w:firstLine="0"/>
              <w:rPr>
                <w:color w:val="000000" w:themeColor="text1"/>
              </w:rPr>
            </w:pPr>
            <w:r w:rsidRPr="00085A60">
              <w:rPr>
                <w:color w:val="000000" w:themeColor="text1"/>
              </w:rPr>
              <w:t>схильність до делінквентної поведінки</w:t>
            </w:r>
          </w:p>
        </w:tc>
        <w:tc>
          <w:tcPr>
            <w:tcW w:w="851"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0</w:t>
            </w:r>
          </w:p>
        </w:tc>
        <w:tc>
          <w:tcPr>
            <w:tcW w:w="850"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0</w:t>
            </w:r>
          </w:p>
        </w:tc>
        <w:tc>
          <w:tcPr>
            <w:tcW w:w="851"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6</w:t>
            </w:r>
          </w:p>
        </w:tc>
        <w:tc>
          <w:tcPr>
            <w:tcW w:w="921"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10</w:t>
            </w:r>
          </w:p>
        </w:tc>
        <w:tc>
          <w:tcPr>
            <w:tcW w:w="900"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5</w:t>
            </w:r>
          </w:p>
        </w:tc>
        <w:tc>
          <w:tcPr>
            <w:tcW w:w="730" w:type="dxa"/>
            <w:shd w:val="clear" w:color="auto" w:fill="auto"/>
            <w:vAlign w:val="center"/>
          </w:tcPr>
          <w:p w:rsidR="00085A60" w:rsidRPr="00085A60" w:rsidRDefault="00085A60" w:rsidP="00085A60">
            <w:pPr>
              <w:spacing w:line="240" w:lineRule="auto"/>
              <w:ind w:firstLine="0"/>
              <w:jc w:val="center"/>
              <w:rPr>
                <w:color w:val="000000" w:themeColor="text1"/>
              </w:rPr>
            </w:pPr>
            <w:r w:rsidRPr="00085A60">
              <w:rPr>
                <w:color w:val="000000" w:themeColor="text1"/>
              </w:rPr>
              <w:t>5</w:t>
            </w:r>
          </w:p>
        </w:tc>
        <w:tc>
          <w:tcPr>
            <w:tcW w:w="1253" w:type="dxa"/>
            <w:shd w:val="clear" w:color="auto" w:fill="auto"/>
            <w:vAlign w:val="center"/>
          </w:tcPr>
          <w:p w:rsidR="00085A60" w:rsidRPr="00085A60" w:rsidRDefault="00085A60" w:rsidP="00085A60">
            <w:pPr>
              <w:spacing w:line="240" w:lineRule="auto"/>
              <w:ind w:firstLine="0"/>
              <w:jc w:val="center"/>
              <w:rPr>
                <w:b/>
                <w:color w:val="000000" w:themeColor="text1"/>
              </w:rPr>
            </w:pPr>
            <w:r w:rsidRPr="00085A60">
              <w:rPr>
                <w:b/>
                <w:color w:val="000000" w:themeColor="text1"/>
              </w:rPr>
              <w:t>8</w:t>
            </w:r>
          </w:p>
        </w:tc>
      </w:tr>
      <w:tr w:rsidR="00085A60" w:rsidRPr="00085A60" w:rsidTr="00085A60">
        <w:tc>
          <w:tcPr>
            <w:tcW w:w="3652" w:type="dxa"/>
            <w:shd w:val="clear" w:color="auto" w:fill="auto"/>
          </w:tcPr>
          <w:p w:rsidR="00085A60" w:rsidRPr="00085A60" w:rsidRDefault="00085A60" w:rsidP="00085A60">
            <w:pPr>
              <w:spacing w:line="240" w:lineRule="auto"/>
              <w:ind w:firstLine="0"/>
              <w:rPr>
                <w:color w:val="000000" w:themeColor="text1"/>
              </w:rPr>
            </w:pPr>
            <w:r w:rsidRPr="00085A60">
              <w:rPr>
                <w:color w:val="000000" w:themeColor="text1"/>
              </w:rPr>
              <w:t>Всього:</w:t>
            </w:r>
          </w:p>
        </w:tc>
        <w:tc>
          <w:tcPr>
            <w:tcW w:w="851" w:type="dxa"/>
            <w:shd w:val="clear" w:color="auto" w:fill="auto"/>
          </w:tcPr>
          <w:p w:rsidR="00085A60" w:rsidRPr="00085A60" w:rsidRDefault="00085A60" w:rsidP="00085A60">
            <w:pPr>
              <w:spacing w:line="240" w:lineRule="auto"/>
              <w:ind w:firstLine="0"/>
              <w:jc w:val="center"/>
              <w:rPr>
                <w:b/>
                <w:color w:val="000000" w:themeColor="text1"/>
              </w:rPr>
            </w:pPr>
            <w:r w:rsidRPr="00085A60">
              <w:rPr>
                <w:b/>
                <w:color w:val="000000" w:themeColor="text1"/>
              </w:rPr>
              <w:t>0</w:t>
            </w:r>
          </w:p>
        </w:tc>
        <w:tc>
          <w:tcPr>
            <w:tcW w:w="850" w:type="dxa"/>
            <w:shd w:val="clear" w:color="auto" w:fill="auto"/>
          </w:tcPr>
          <w:p w:rsidR="00085A60" w:rsidRPr="00085A60" w:rsidRDefault="00085A60" w:rsidP="00085A60">
            <w:pPr>
              <w:spacing w:line="240" w:lineRule="auto"/>
              <w:ind w:firstLine="0"/>
              <w:jc w:val="center"/>
              <w:rPr>
                <w:b/>
                <w:color w:val="000000" w:themeColor="text1"/>
              </w:rPr>
            </w:pPr>
            <w:r w:rsidRPr="00085A60">
              <w:rPr>
                <w:b/>
                <w:color w:val="000000" w:themeColor="text1"/>
              </w:rPr>
              <w:t>0</w:t>
            </w:r>
          </w:p>
        </w:tc>
        <w:tc>
          <w:tcPr>
            <w:tcW w:w="851" w:type="dxa"/>
            <w:shd w:val="clear" w:color="auto" w:fill="auto"/>
          </w:tcPr>
          <w:p w:rsidR="00085A60" w:rsidRPr="00085A60" w:rsidRDefault="00085A60" w:rsidP="00085A60">
            <w:pPr>
              <w:spacing w:line="240" w:lineRule="auto"/>
              <w:ind w:firstLine="0"/>
              <w:jc w:val="center"/>
              <w:rPr>
                <w:b/>
                <w:color w:val="000000" w:themeColor="text1"/>
              </w:rPr>
            </w:pPr>
            <w:r w:rsidRPr="00085A60">
              <w:rPr>
                <w:b/>
                <w:color w:val="000000" w:themeColor="text1"/>
              </w:rPr>
              <w:t>7</w:t>
            </w:r>
          </w:p>
        </w:tc>
        <w:tc>
          <w:tcPr>
            <w:tcW w:w="921" w:type="dxa"/>
            <w:shd w:val="clear" w:color="auto" w:fill="auto"/>
          </w:tcPr>
          <w:p w:rsidR="00085A60" w:rsidRPr="00085A60" w:rsidRDefault="00085A60" w:rsidP="00085A60">
            <w:pPr>
              <w:spacing w:line="240" w:lineRule="auto"/>
              <w:ind w:firstLine="0"/>
              <w:jc w:val="center"/>
              <w:rPr>
                <w:b/>
                <w:color w:val="000000" w:themeColor="text1"/>
              </w:rPr>
            </w:pPr>
            <w:r w:rsidRPr="00085A60">
              <w:rPr>
                <w:b/>
                <w:color w:val="000000" w:themeColor="text1"/>
              </w:rPr>
              <w:t>15</w:t>
            </w:r>
          </w:p>
        </w:tc>
        <w:tc>
          <w:tcPr>
            <w:tcW w:w="900" w:type="dxa"/>
            <w:shd w:val="clear" w:color="auto" w:fill="auto"/>
          </w:tcPr>
          <w:p w:rsidR="00085A60" w:rsidRPr="00085A60" w:rsidRDefault="00085A60" w:rsidP="00085A60">
            <w:pPr>
              <w:spacing w:line="240" w:lineRule="auto"/>
              <w:ind w:firstLine="0"/>
              <w:jc w:val="center"/>
              <w:rPr>
                <w:b/>
                <w:color w:val="000000" w:themeColor="text1"/>
              </w:rPr>
            </w:pPr>
            <w:r w:rsidRPr="00085A60">
              <w:rPr>
                <w:b/>
                <w:color w:val="000000" w:themeColor="text1"/>
              </w:rPr>
              <w:t>0</w:t>
            </w:r>
          </w:p>
        </w:tc>
        <w:tc>
          <w:tcPr>
            <w:tcW w:w="730" w:type="dxa"/>
            <w:shd w:val="clear" w:color="auto" w:fill="auto"/>
          </w:tcPr>
          <w:p w:rsidR="00085A60" w:rsidRPr="00085A60" w:rsidRDefault="00085A60" w:rsidP="00085A60">
            <w:pPr>
              <w:spacing w:line="240" w:lineRule="auto"/>
              <w:ind w:firstLine="0"/>
              <w:jc w:val="center"/>
              <w:rPr>
                <w:b/>
                <w:color w:val="000000" w:themeColor="text1"/>
              </w:rPr>
            </w:pPr>
            <w:r w:rsidRPr="00085A60">
              <w:rPr>
                <w:b/>
                <w:color w:val="000000" w:themeColor="text1"/>
              </w:rPr>
              <w:t>5</w:t>
            </w:r>
          </w:p>
        </w:tc>
        <w:tc>
          <w:tcPr>
            <w:tcW w:w="1253" w:type="dxa"/>
            <w:shd w:val="clear" w:color="auto" w:fill="auto"/>
          </w:tcPr>
          <w:p w:rsidR="00085A60" w:rsidRPr="00085A60" w:rsidRDefault="00085A60" w:rsidP="00085A60">
            <w:pPr>
              <w:spacing w:line="240" w:lineRule="auto"/>
              <w:ind w:firstLine="0"/>
              <w:jc w:val="center"/>
              <w:rPr>
                <w:b/>
                <w:color w:val="000000" w:themeColor="text1"/>
              </w:rPr>
            </w:pPr>
            <w:r w:rsidRPr="00085A60">
              <w:rPr>
                <w:b/>
                <w:color w:val="000000" w:themeColor="text1"/>
              </w:rPr>
              <w:t>14</w:t>
            </w:r>
          </w:p>
        </w:tc>
      </w:tr>
    </w:tbl>
    <w:p w:rsidR="00085A60" w:rsidRPr="00085A60" w:rsidRDefault="00085A60" w:rsidP="00085A60">
      <w:pPr>
        <w:ind w:firstLine="709"/>
        <w:rPr>
          <w:color w:val="000000" w:themeColor="text1"/>
        </w:rPr>
      </w:pPr>
    </w:p>
    <w:p w:rsidR="00085A60" w:rsidRDefault="00085A60" w:rsidP="00085A60">
      <w:pPr>
        <w:ind w:firstLine="709"/>
        <w:rPr>
          <w:color w:val="000000" w:themeColor="text1"/>
        </w:rPr>
      </w:pPr>
      <w:r w:rsidRPr="00085A60">
        <w:rPr>
          <w:color w:val="000000" w:themeColor="text1"/>
        </w:rPr>
        <w:t xml:space="preserve">Як демонструє таблиця 1, у загальному 14 % дівчат мають схильність до девіантної поведінки. З поміж п’ятьох видів девіацій найбільш розповсюдженою є схильність до самоушкодження та саморуйнування (9 %). Дана ознака найбільш характерна для учениць сьомого (12 %) та дев’ятого (25 %) класів. У восьмому класі кількість дівчат із схильністю до самоушкодження рівна чисельності учениць із схильністю до делінквентної поведінки (10 %). Трохи менше школярок (8 %) характеризуються схильністю </w:t>
      </w:r>
      <w:r w:rsidRPr="00085A60">
        <w:rPr>
          <w:color w:val="000000" w:themeColor="text1"/>
        </w:rPr>
        <w:lastRenderedPageBreak/>
        <w:t>до делінкветної поведінки. Дана ознака явно виражена серед учениць десятого класу (25 %).</w:t>
      </w:r>
    </w:p>
    <w:p w:rsidR="00085A60" w:rsidRPr="00085A60" w:rsidRDefault="00085A60" w:rsidP="00085A60">
      <w:pPr>
        <w:ind w:firstLine="709"/>
        <w:rPr>
          <w:color w:val="000000" w:themeColor="text1"/>
        </w:rPr>
      </w:pPr>
      <w:r w:rsidRPr="00085A60">
        <w:rPr>
          <w:color w:val="000000" w:themeColor="text1"/>
        </w:rPr>
        <w:t>Спостерігається чіткий взаємозв’язок: із ростом установки на соціальну бажаність зростає схильність до девіантної поведінки, і навпаки, із спадом установки – зменшується кількість дітей із девіантними проявами. Це може бути пов’язано із юнацьким максималізмом і бажанням суперечити укладеним нормативним уставам та суспільно значущим цінностям. Ці прояви можуть бути пояснені як мінімум двома припущеннями:</w:t>
      </w:r>
    </w:p>
    <w:p w:rsidR="00076A48" w:rsidRDefault="00085A60" w:rsidP="00076A48">
      <w:pPr>
        <w:pStyle w:val="a3"/>
        <w:numPr>
          <w:ilvl w:val="0"/>
          <w:numId w:val="4"/>
        </w:numPr>
        <w:tabs>
          <w:tab w:val="num" w:pos="540"/>
        </w:tabs>
        <w:rPr>
          <w:color w:val="000000" w:themeColor="text1"/>
        </w:rPr>
      </w:pPr>
      <w:r w:rsidRPr="00076A48">
        <w:rPr>
          <w:color w:val="000000" w:themeColor="text1"/>
        </w:rPr>
        <w:t>Схильності до девіацій з’являються у школярок як протест соціально-орієнтованій поведінці більшості однокласників.</w:t>
      </w:r>
    </w:p>
    <w:p w:rsidR="00085A60" w:rsidRPr="00076A48" w:rsidRDefault="00085A60" w:rsidP="00076A48">
      <w:pPr>
        <w:pStyle w:val="a3"/>
        <w:numPr>
          <w:ilvl w:val="0"/>
          <w:numId w:val="4"/>
        </w:numPr>
        <w:tabs>
          <w:tab w:val="num" w:pos="540"/>
        </w:tabs>
        <w:rPr>
          <w:color w:val="000000" w:themeColor="text1"/>
        </w:rPr>
      </w:pPr>
      <w:r w:rsidRPr="00076A48">
        <w:rPr>
          <w:color w:val="000000" w:themeColor="text1"/>
        </w:rPr>
        <w:t>Схильності до девіацій з’являються як результат внутрішнього конфлікту учнів, що орієнтовані на соціальну бажаність (до прикладу, постійне несхвалення поведінки (чи результатів праці) вихованої (чи старанної у навчанні) дитини.</w:t>
      </w:r>
    </w:p>
    <w:p w:rsidR="00085A60" w:rsidRPr="00085A60" w:rsidRDefault="00085A60" w:rsidP="00085A60">
      <w:pPr>
        <w:tabs>
          <w:tab w:val="num" w:pos="360"/>
        </w:tabs>
        <w:ind w:firstLine="709"/>
        <w:rPr>
          <w:color w:val="000000" w:themeColor="text1"/>
        </w:rPr>
      </w:pPr>
      <w:r w:rsidRPr="00085A60">
        <w:rPr>
          <w:color w:val="000000" w:themeColor="text1"/>
        </w:rPr>
        <w:t xml:space="preserve">Щоб підтвердити чи спростувати названі припущення, потрібно провести повторне опитування саме тих дітей, що мають девіантні прояви. </w:t>
      </w:r>
    </w:p>
    <w:p w:rsidR="00085A60" w:rsidRPr="00085A60" w:rsidRDefault="00085A60" w:rsidP="00085A60">
      <w:pPr>
        <w:tabs>
          <w:tab w:val="num" w:pos="360"/>
        </w:tabs>
        <w:ind w:firstLine="709"/>
        <w:rPr>
          <w:color w:val="000000" w:themeColor="text1"/>
        </w:rPr>
      </w:pPr>
      <w:r w:rsidRPr="00085A60">
        <w:rPr>
          <w:color w:val="000000" w:themeColor="text1"/>
        </w:rPr>
        <w:t xml:space="preserve">Щодо </w:t>
      </w:r>
      <w:r w:rsidR="00076A48">
        <w:rPr>
          <w:color w:val="000000" w:themeColor="text1"/>
        </w:rPr>
        <w:t>взаємозалежності</w:t>
      </w:r>
      <w:r w:rsidRPr="00085A60">
        <w:rPr>
          <w:color w:val="000000" w:themeColor="text1"/>
        </w:rPr>
        <w:t xml:space="preserve"> між розвитком характеристики вольового контролю і збільшенням кількості дітей, схильних до девіацій – чіткого зв’язку не спостерігається. Тут можна констатувати наступне:</w:t>
      </w:r>
    </w:p>
    <w:p w:rsidR="00076A48" w:rsidRDefault="00085A60" w:rsidP="00076A48">
      <w:pPr>
        <w:pStyle w:val="a3"/>
        <w:numPr>
          <w:ilvl w:val="0"/>
          <w:numId w:val="5"/>
        </w:numPr>
        <w:tabs>
          <w:tab w:val="num" w:pos="540"/>
        </w:tabs>
        <w:rPr>
          <w:color w:val="000000" w:themeColor="text1"/>
        </w:rPr>
      </w:pPr>
      <w:r w:rsidRPr="00076A48">
        <w:rPr>
          <w:color w:val="000000" w:themeColor="text1"/>
        </w:rPr>
        <w:t>Із появою вольового контролю емоційних реакцій з’являються девіантні прояви.</w:t>
      </w:r>
    </w:p>
    <w:p w:rsidR="00085A60" w:rsidRPr="00076A48" w:rsidRDefault="00085A60" w:rsidP="00076A48">
      <w:pPr>
        <w:pStyle w:val="a3"/>
        <w:numPr>
          <w:ilvl w:val="0"/>
          <w:numId w:val="5"/>
        </w:numPr>
        <w:tabs>
          <w:tab w:val="num" w:pos="540"/>
        </w:tabs>
        <w:rPr>
          <w:color w:val="000000" w:themeColor="text1"/>
        </w:rPr>
      </w:pPr>
      <w:r w:rsidRPr="00076A48">
        <w:rPr>
          <w:color w:val="000000" w:themeColor="text1"/>
        </w:rPr>
        <w:t xml:space="preserve">У восьмому класі, коли значно зросла кількість дітей із вираженим вольовим контролем – незначно (на 2 %) зменшилась кількість дітей, що схильні до девіантної поведінки, тобто, зростання вольового контролю над емоціями суттєво не знижує девіантні прояви у конкретній віковій категорії. </w:t>
      </w:r>
    </w:p>
    <w:p w:rsidR="00085A60" w:rsidRPr="00085A60" w:rsidRDefault="00085A60" w:rsidP="00085A60">
      <w:pPr>
        <w:ind w:firstLine="709"/>
        <w:rPr>
          <w:color w:val="000000" w:themeColor="text1"/>
        </w:rPr>
      </w:pPr>
      <w:r w:rsidRPr="00085A60">
        <w:rPr>
          <w:color w:val="000000" w:themeColor="text1"/>
        </w:rPr>
        <w:t xml:space="preserve">Цікаво простежити, як змінюється кожна конкретна схильність в залежності від розвитку установки на соціально бажані відповіді і вольового контролю.   </w:t>
      </w:r>
    </w:p>
    <w:p w:rsidR="00085A60" w:rsidRPr="00085A60" w:rsidRDefault="00085A60" w:rsidP="00085A60">
      <w:pPr>
        <w:ind w:firstLine="709"/>
        <w:rPr>
          <w:color w:val="000000" w:themeColor="text1"/>
        </w:rPr>
      </w:pPr>
      <w:r w:rsidRPr="00085A60">
        <w:rPr>
          <w:color w:val="000000" w:themeColor="text1"/>
        </w:rPr>
        <w:lastRenderedPageBreak/>
        <w:t>Серед дівчат, схильних до девіацій, схильність до порушення норм і правил з’являється у восьмому класі і значно зростає в десятому класі, коли стрімко спадає установка на соціальну бажаність. Схильність до адиктивної поведінки спостерігається у восьмому і дев’ятому класах і зростає, коли спадає установка на соціальну бажаність, у десятому класі. Схильність до делінквентної поведінки зростає у восьмому і десятому класах, коли спадає установка на соціальну схваленість. Слід зауважити, що при спаді установки зростає  вольовий контроль.</w:t>
      </w:r>
    </w:p>
    <w:p w:rsidR="00085A60" w:rsidRDefault="00085A60" w:rsidP="00085A60">
      <w:pPr>
        <w:ind w:firstLine="709"/>
        <w:rPr>
          <w:color w:val="000000" w:themeColor="text1"/>
        </w:rPr>
      </w:pPr>
      <w:r w:rsidRPr="00085A60">
        <w:rPr>
          <w:color w:val="000000" w:themeColor="text1"/>
        </w:rPr>
        <w:t xml:space="preserve">Звідси випливає висновок: </w:t>
      </w:r>
      <w:r w:rsidRPr="00076A48">
        <w:rPr>
          <w:color w:val="000000" w:themeColor="text1"/>
        </w:rPr>
        <w:t>із спадом установки на соціальну бажаність зростає кількість осіб, схильних до порушення норм і правил, адиктивної і делінквентної поведінки.</w:t>
      </w:r>
    </w:p>
    <w:p w:rsidR="00076A48" w:rsidRPr="00076A48" w:rsidRDefault="00076A48" w:rsidP="00076A48">
      <w:pPr>
        <w:ind w:firstLine="709"/>
        <w:rPr>
          <w:b/>
          <w:color w:val="000000" w:themeColor="text1"/>
          <w:u w:val="single"/>
        </w:rPr>
      </w:pPr>
      <w:r w:rsidRPr="00076A48">
        <w:rPr>
          <w:color w:val="000000" w:themeColor="text1"/>
        </w:rPr>
        <w:t>Така тенденція пояснюється різницею дії зовнішнього та внутрішнього контролю. Високий бал за установкою на соціально бажані відповіді свідчить про пріоритетність зовнішнього контролю, що функціонує незалежно від бажання особи (носія соціальної дії). Із послабленням впливу зовнішнього контролю зростає внутрішній контроль (вольовий контроль емоційних реакцій), що є прямозалежним від бажань і настроїв суб’єкта.</w:t>
      </w:r>
    </w:p>
    <w:p w:rsidR="00076A48" w:rsidRPr="00076A48" w:rsidRDefault="00076A48" w:rsidP="00076A48">
      <w:pPr>
        <w:ind w:firstLine="709"/>
        <w:rPr>
          <w:color w:val="000000" w:themeColor="text1"/>
        </w:rPr>
      </w:pPr>
      <w:r w:rsidRPr="00076A48">
        <w:rPr>
          <w:color w:val="000000" w:themeColor="text1"/>
        </w:rPr>
        <w:t xml:space="preserve">Варто вернути увагу на розвиток схильності до самоушкодження і саморуйнування. </w:t>
      </w:r>
      <w:r w:rsidRPr="004A5648">
        <w:rPr>
          <w:color w:val="000000" w:themeColor="text1"/>
        </w:rPr>
        <w:t>Зростання чисельності учениць із даною девіацією залежить не від спаду установки на соціально бажані відповіді (зовнішнього контролю), а від її зростання.</w:t>
      </w:r>
      <w:r w:rsidRPr="00076A48">
        <w:rPr>
          <w:color w:val="000000" w:themeColor="text1"/>
        </w:rPr>
        <w:t xml:space="preserve"> Названа схильність з’являється у сьомому класі  (12 %), коли у цій віковій категорії вольовий контроль зростає, а установка на соціальне схвалення спадає, проте у сильному розриві (відповідно 17 % і 67 %). У восьмому класі установка на соціальну бажаність стрімко спадає, схильність до самоушкодження також спадає (проте незначно – на 2 %), але продовжує рости вольовий контроль. В дев’ятому класі цей взаємозв’язок найбільш яскраво спостерігається – вольовий контроль спадає на  5 %, установка на соціальну бажаність стрімко зростає на 20 %, і разом з нею зростає показник щодо саморуйнування на 15 %. В десятому класі вольовий контроль зберігається на </w:t>
      </w:r>
      <w:r w:rsidRPr="00076A48">
        <w:rPr>
          <w:color w:val="000000" w:themeColor="text1"/>
        </w:rPr>
        <w:lastRenderedPageBreak/>
        <w:t>тому ж рівні, що і в дев’ятому, установка на соціальну бажаність спадає на 35 %, і разом з нею спадає схильність до самоушкодження на 15 %.</w:t>
      </w:r>
    </w:p>
    <w:p w:rsidR="00076A48" w:rsidRPr="00076A48" w:rsidRDefault="00076A48" w:rsidP="00076A48">
      <w:pPr>
        <w:ind w:firstLine="709"/>
        <w:rPr>
          <w:color w:val="000000" w:themeColor="text1"/>
        </w:rPr>
      </w:pPr>
      <w:r w:rsidRPr="00076A48">
        <w:rPr>
          <w:color w:val="000000" w:themeColor="text1"/>
        </w:rPr>
        <w:t xml:space="preserve">Якщо розвиток схильностей до порушення норм і правил, адиктивної та делінквентної поведінки характеризується такою закономірністю, що ріст девіацій залежить від спаду установки на соціально бажані відповіді, то ріст схильності до самоушкодження залежить від росту установки на соціальну бажаність. При цьому в дев’ятому класі (в тій точці, коли розвиток установки змінює свій напрямок), зростає не тільки схильність до самоушкодження (порівняно із попереднім класом), але і схильність до агресії і насильства (на 5%). </w:t>
      </w:r>
    </w:p>
    <w:p w:rsidR="004A5648" w:rsidRDefault="004A5648" w:rsidP="00076A48">
      <w:pPr>
        <w:ind w:firstLine="709"/>
        <w:rPr>
          <w:color w:val="000000" w:themeColor="text1"/>
        </w:rPr>
      </w:pPr>
      <w:r>
        <w:rPr>
          <w:color w:val="000000" w:themeColor="text1"/>
        </w:rPr>
        <w:drawing>
          <wp:anchor distT="0" distB="0" distL="114300" distR="114300" simplePos="0" relativeHeight="251671552" behindDoc="0" locked="0" layoutInCell="1" allowOverlap="1">
            <wp:simplePos x="0" y="0"/>
            <wp:positionH relativeFrom="column">
              <wp:posOffset>118110</wp:posOffset>
            </wp:positionH>
            <wp:positionV relativeFrom="paragraph">
              <wp:posOffset>442595</wp:posOffset>
            </wp:positionV>
            <wp:extent cx="6105525" cy="3086100"/>
            <wp:effectExtent l="0" t="0" r="0" b="0"/>
            <wp:wrapSquare wrapText="bothSides"/>
            <wp:docPr id="9"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076A48" w:rsidRPr="00076A48">
        <w:rPr>
          <w:color w:val="000000" w:themeColor="text1"/>
        </w:rPr>
        <w:t xml:space="preserve">Схильність до девіантної поведінки виявлена у 17 % хлопців (рис. 7). </w:t>
      </w:r>
    </w:p>
    <w:p w:rsidR="004A5648" w:rsidRPr="00076A48" w:rsidRDefault="004A5648" w:rsidP="004A5648">
      <w:pPr>
        <w:jc w:val="center"/>
        <w:rPr>
          <w:b/>
          <w:color w:val="000000" w:themeColor="text1"/>
        </w:rPr>
      </w:pPr>
      <w:r w:rsidRPr="00076A48">
        <w:rPr>
          <w:color w:val="000000" w:themeColor="text1"/>
        </w:rPr>
        <w:t xml:space="preserve">Рис. 7. </w:t>
      </w:r>
      <w:r w:rsidRPr="00076A48">
        <w:rPr>
          <w:b/>
          <w:color w:val="000000" w:themeColor="text1"/>
        </w:rPr>
        <w:t>Узагальнені результати діагностики схильності хлопців до проявів девіантної поведінки (за кожною шкалою), %</w:t>
      </w:r>
    </w:p>
    <w:p w:rsidR="004A5648" w:rsidRPr="00085A60" w:rsidRDefault="004A5648" w:rsidP="004A5648">
      <w:pPr>
        <w:ind w:firstLine="709"/>
        <w:rPr>
          <w:color w:val="000000" w:themeColor="text1"/>
        </w:rPr>
      </w:pPr>
    </w:p>
    <w:p w:rsidR="00076A48" w:rsidRPr="00076A48" w:rsidRDefault="00076A48" w:rsidP="00076A48">
      <w:pPr>
        <w:ind w:firstLine="709"/>
        <w:rPr>
          <w:color w:val="000000" w:themeColor="text1"/>
        </w:rPr>
      </w:pPr>
      <w:r w:rsidRPr="00076A48">
        <w:rPr>
          <w:color w:val="000000" w:themeColor="text1"/>
        </w:rPr>
        <w:t>Якщо у дівчат з’являються девіантні прояви у сьомому класі, то серед хлопців виявлені такі прояви (11 %) вже у п’ятому класі. Найбільша кількість хлопців із вираженими девіантними проявами сконцентровані у десятому класі (50 %).</w:t>
      </w:r>
    </w:p>
    <w:p w:rsidR="00076A48" w:rsidRPr="00076A48" w:rsidRDefault="00076A48" w:rsidP="00076A48">
      <w:pPr>
        <w:ind w:firstLine="709"/>
        <w:rPr>
          <w:color w:val="000000" w:themeColor="text1"/>
        </w:rPr>
      </w:pPr>
      <w:r w:rsidRPr="00076A48">
        <w:rPr>
          <w:color w:val="000000" w:themeColor="text1"/>
        </w:rPr>
        <w:lastRenderedPageBreak/>
        <w:t>Чисельність хлопців, що мають схильності до девіантної поведінки, майже однакова в кожному класі, починаючи з п‘ятого до дев’ятого. Показник виражених девіацій стрімко збільшується в десятому класі (50 %) до половини.</w:t>
      </w:r>
    </w:p>
    <w:p w:rsidR="00076A48" w:rsidRDefault="00076A48" w:rsidP="00076A48">
      <w:pPr>
        <w:ind w:firstLine="709"/>
        <w:rPr>
          <w:color w:val="000000" w:themeColor="text1"/>
        </w:rPr>
      </w:pPr>
      <w:r w:rsidRPr="00076A48">
        <w:rPr>
          <w:color w:val="000000" w:themeColor="text1"/>
        </w:rPr>
        <w:t>Взаємозв’язок між розвитком установки на соціальну бажаність, вольовим контролем і розвитком схильностей до девіантної поведінки у хлопців не виявлений.</w:t>
      </w:r>
    </w:p>
    <w:p w:rsidR="00076A48" w:rsidRPr="00094ACD" w:rsidRDefault="00076A48" w:rsidP="00076A48">
      <w:pPr>
        <w:ind w:firstLine="709"/>
        <w:rPr>
          <w:color w:val="000000" w:themeColor="text1"/>
        </w:rPr>
      </w:pPr>
      <w:r w:rsidRPr="00094ACD">
        <w:rPr>
          <w:color w:val="000000" w:themeColor="text1"/>
        </w:rPr>
        <w:t>Найбільш розповсюджені види девіацій у хлопців такі: схильність до самоушкодження і саморуйнування (10 %), схильність до делінквентної поведінки (9 %). Менш розповсюджені схильність до агресії та насильства (6 %) та схильність до адиктивної поведінки (5 %). Найменша кількість хлопців, що мають схильність до порушень норм і правил (2 %) (табл. 2).</w:t>
      </w:r>
    </w:p>
    <w:p w:rsidR="00076A48" w:rsidRPr="00094ACD" w:rsidRDefault="00076A48" w:rsidP="00076A48">
      <w:pPr>
        <w:jc w:val="center"/>
        <w:rPr>
          <w:color w:val="000000" w:themeColor="text1"/>
        </w:rPr>
      </w:pPr>
      <w:r w:rsidRPr="00094ACD">
        <w:rPr>
          <w:color w:val="000000" w:themeColor="text1"/>
        </w:rPr>
        <w:t>Таблиця 2</w:t>
      </w:r>
    </w:p>
    <w:p w:rsidR="00076A48" w:rsidRPr="00094ACD" w:rsidRDefault="00076A48" w:rsidP="00076A48">
      <w:pPr>
        <w:jc w:val="center"/>
        <w:rPr>
          <w:b/>
          <w:color w:val="000000" w:themeColor="text1"/>
        </w:rPr>
      </w:pPr>
      <w:r w:rsidRPr="00094ACD">
        <w:rPr>
          <w:b/>
          <w:color w:val="000000" w:themeColor="text1"/>
        </w:rPr>
        <w:t>Розподіл вираженої схильності до прояву девіацій у хлопців,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26"/>
        <w:gridCol w:w="899"/>
        <w:gridCol w:w="900"/>
        <w:gridCol w:w="900"/>
        <w:gridCol w:w="900"/>
        <w:gridCol w:w="900"/>
        <w:gridCol w:w="900"/>
        <w:gridCol w:w="1106"/>
      </w:tblGrid>
      <w:tr w:rsidR="00076A48" w:rsidRPr="00094ACD" w:rsidTr="00076A48">
        <w:tc>
          <w:tcPr>
            <w:tcW w:w="3526" w:type="dxa"/>
            <w:vMerge w:val="restart"/>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Девіації</w:t>
            </w:r>
          </w:p>
        </w:tc>
        <w:tc>
          <w:tcPr>
            <w:tcW w:w="6505" w:type="dxa"/>
            <w:gridSpan w:val="7"/>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класи</w:t>
            </w:r>
          </w:p>
        </w:tc>
      </w:tr>
      <w:tr w:rsidR="00076A48" w:rsidRPr="00094ACD" w:rsidTr="00076A48">
        <w:tc>
          <w:tcPr>
            <w:tcW w:w="3526" w:type="dxa"/>
            <w:vMerge/>
            <w:shd w:val="clear" w:color="auto" w:fill="auto"/>
            <w:vAlign w:val="center"/>
          </w:tcPr>
          <w:p w:rsidR="00076A48" w:rsidRPr="00094ACD" w:rsidRDefault="00076A48" w:rsidP="00076A48">
            <w:pPr>
              <w:spacing w:line="240" w:lineRule="auto"/>
              <w:jc w:val="center"/>
              <w:rPr>
                <w:b/>
                <w:color w:val="000000" w:themeColor="text1"/>
              </w:rPr>
            </w:pPr>
          </w:p>
        </w:tc>
        <w:tc>
          <w:tcPr>
            <w:tcW w:w="899" w:type="dxa"/>
            <w:shd w:val="clear" w:color="auto" w:fill="auto"/>
            <w:vAlign w:val="center"/>
          </w:tcPr>
          <w:p w:rsidR="00076A48" w:rsidRPr="00094ACD" w:rsidRDefault="00076A48" w:rsidP="00076A48">
            <w:pPr>
              <w:spacing w:line="240" w:lineRule="auto"/>
              <w:ind w:firstLine="0"/>
              <w:jc w:val="center"/>
              <w:rPr>
                <w:b/>
                <w:color w:val="000000" w:themeColor="text1"/>
              </w:rPr>
            </w:pPr>
            <w:r w:rsidRPr="00094ACD">
              <w:rPr>
                <w:b/>
                <w:color w:val="000000" w:themeColor="text1"/>
              </w:rPr>
              <w:t>5</w:t>
            </w:r>
          </w:p>
          <w:p w:rsidR="00076A48" w:rsidRPr="00094ACD" w:rsidRDefault="00076A48" w:rsidP="00076A48">
            <w:pPr>
              <w:spacing w:line="240" w:lineRule="auto"/>
              <w:ind w:firstLine="0"/>
              <w:jc w:val="center"/>
              <w:rPr>
                <w:b/>
                <w:color w:val="000000" w:themeColor="text1"/>
                <w:lang w:val="en-US"/>
              </w:rPr>
            </w:pPr>
            <w:r w:rsidRPr="00094ACD">
              <w:rPr>
                <w:b/>
                <w:color w:val="000000" w:themeColor="text1"/>
                <w:lang w:val="en-US"/>
              </w:rPr>
              <w:t>N=20</w:t>
            </w:r>
          </w:p>
        </w:tc>
        <w:tc>
          <w:tcPr>
            <w:tcW w:w="900" w:type="dxa"/>
            <w:shd w:val="clear" w:color="auto" w:fill="auto"/>
            <w:vAlign w:val="center"/>
          </w:tcPr>
          <w:p w:rsidR="00076A48" w:rsidRPr="00094ACD" w:rsidRDefault="00076A48" w:rsidP="00076A48">
            <w:pPr>
              <w:spacing w:line="240" w:lineRule="auto"/>
              <w:ind w:firstLine="0"/>
              <w:jc w:val="center"/>
              <w:rPr>
                <w:b/>
                <w:color w:val="000000" w:themeColor="text1"/>
                <w:lang w:val="en-US"/>
              </w:rPr>
            </w:pPr>
            <w:r w:rsidRPr="00094ACD">
              <w:rPr>
                <w:b/>
                <w:color w:val="000000" w:themeColor="text1"/>
              </w:rPr>
              <w:t>6</w:t>
            </w:r>
          </w:p>
          <w:p w:rsidR="00076A48" w:rsidRPr="00094ACD" w:rsidRDefault="00076A48" w:rsidP="00076A48">
            <w:pPr>
              <w:spacing w:line="240" w:lineRule="auto"/>
              <w:ind w:firstLine="0"/>
              <w:jc w:val="center"/>
              <w:rPr>
                <w:b/>
                <w:color w:val="000000" w:themeColor="text1"/>
                <w:lang w:val="en-US"/>
              </w:rPr>
            </w:pPr>
            <w:r w:rsidRPr="00094ACD">
              <w:rPr>
                <w:b/>
                <w:color w:val="000000" w:themeColor="text1"/>
                <w:lang w:val="en-US"/>
              </w:rPr>
              <w:t>N=20</w:t>
            </w:r>
          </w:p>
        </w:tc>
        <w:tc>
          <w:tcPr>
            <w:tcW w:w="900" w:type="dxa"/>
            <w:shd w:val="clear" w:color="auto" w:fill="auto"/>
            <w:vAlign w:val="center"/>
          </w:tcPr>
          <w:p w:rsidR="00076A48" w:rsidRPr="00094ACD" w:rsidRDefault="00076A48" w:rsidP="00076A48">
            <w:pPr>
              <w:spacing w:line="240" w:lineRule="auto"/>
              <w:ind w:firstLine="0"/>
              <w:jc w:val="center"/>
              <w:rPr>
                <w:b/>
                <w:color w:val="000000" w:themeColor="text1"/>
                <w:lang w:val="en-US"/>
              </w:rPr>
            </w:pPr>
            <w:r w:rsidRPr="00094ACD">
              <w:rPr>
                <w:b/>
                <w:color w:val="000000" w:themeColor="text1"/>
              </w:rPr>
              <w:t>7</w:t>
            </w:r>
          </w:p>
          <w:p w:rsidR="00076A48" w:rsidRPr="00094ACD" w:rsidRDefault="00076A48" w:rsidP="00076A48">
            <w:pPr>
              <w:spacing w:line="240" w:lineRule="auto"/>
              <w:ind w:firstLine="0"/>
              <w:jc w:val="center"/>
              <w:rPr>
                <w:b/>
                <w:color w:val="000000" w:themeColor="text1"/>
                <w:lang w:val="en-US"/>
              </w:rPr>
            </w:pPr>
            <w:r w:rsidRPr="00094ACD">
              <w:rPr>
                <w:b/>
                <w:color w:val="000000" w:themeColor="text1"/>
                <w:lang w:val="en-US"/>
              </w:rPr>
              <w:t>N=18</w:t>
            </w:r>
          </w:p>
        </w:tc>
        <w:tc>
          <w:tcPr>
            <w:tcW w:w="900" w:type="dxa"/>
            <w:shd w:val="clear" w:color="auto" w:fill="auto"/>
            <w:vAlign w:val="center"/>
          </w:tcPr>
          <w:p w:rsidR="00076A48" w:rsidRPr="00094ACD" w:rsidRDefault="00076A48" w:rsidP="00076A48">
            <w:pPr>
              <w:spacing w:line="240" w:lineRule="auto"/>
              <w:ind w:firstLine="0"/>
              <w:jc w:val="center"/>
              <w:rPr>
                <w:b/>
                <w:color w:val="000000" w:themeColor="text1"/>
                <w:lang w:val="en-US"/>
              </w:rPr>
            </w:pPr>
            <w:r w:rsidRPr="00094ACD">
              <w:rPr>
                <w:b/>
                <w:color w:val="000000" w:themeColor="text1"/>
              </w:rPr>
              <w:t>8</w:t>
            </w:r>
          </w:p>
          <w:p w:rsidR="00076A48" w:rsidRPr="00094ACD" w:rsidRDefault="00076A48" w:rsidP="00076A48">
            <w:pPr>
              <w:spacing w:line="240" w:lineRule="auto"/>
              <w:ind w:firstLine="0"/>
              <w:jc w:val="center"/>
              <w:rPr>
                <w:b/>
                <w:color w:val="000000" w:themeColor="text1"/>
                <w:lang w:val="en-US"/>
              </w:rPr>
            </w:pPr>
            <w:r w:rsidRPr="00094ACD">
              <w:rPr>
                <w:b/>
                <w:color w:val="000000" w:themeColor="text1"/>
                <w:lang w:val="en-US"/>
              </w:rPr>
              <w:t>N=20</w:t>
            </w:r>
          </w:p>
        </w:tc>
        <w:tc>
          <w:tcPr>
            <w:tcW w:w="900" w:type="dxa"/>
            <w:shd w:val="clear" w:color="auto" w:fill="auto"/>
            <w:vAlign w:val="center"/>
          </w:tcPr>
          <w:p w:rsidR="00076A48" w:rsidRPr="00094ACD" w:rsidRDefault="00076A48" w:rsidP="00076A48">
            <w:pPr>
              <w:spacing w:line="240" w:lineRule="auto"/>
              <w:ind w:firstLine="0"/>
              <w:jc w:val="center"/>
              <w:rPr>
                <w:b/>
                <w:color w:val="000000" w:themeColor="text1"/>
                <w:lang w:val="en-US"/>
              </w:rPr>
            </w:pPr>
            <w:r w:rsidRPr="00094ACD">
              <w:rPr>
                <w:b/>
                <w:color w:val="000000" w:themeColor="text1"/>
              </w:rPr>
              <w:t>9</w:t>
            </w:r>
          </w:p>
          <w:p w:rsidR="00076A48" w:rsidRPr="00094ACD" w:rsidRDefault="00076A48" w:rsidP="00076A48">
            <w:pPr>
              <w:spacing w:line="240" w:lineRule="auto"/>
              <w:ind w:firstLine="0"/>
              <w:jc w:val="center"/>
              <w:rPr>
                <w:b/>
                <w:color w:val="000000" w:themeColor="text1"/>
                <w:lang w:val="en-US"/>
              </w:rPr>
            </w:pPr>
            <w:r w:rsidRPr="00094ACD">
              <w:rPr>
                <w:b/>
                <w:color w:val="000000" w:themeColor="text1"/>
                <w:lang w:val="en-US"/>
              </w:rPr>
              <w:t>N=20</w:t>
            </w:r>
          </w:p>
        </w:tc>
        <w:tc>
          <w:tcPr>
            <w:tcW w:w="900" w:type="dxa"/>
            <w:shd w:val="clear" w:color="auto" w:fill="auto"/>
            <w:vAlign w:val="center"/>
          </w:tcPr>
          <w:p w:rsidR="00076A48" w:rsidRPr="00094ACD" w:rsidRDefault="00076A48" w:rsidP="00076A48">
            <w:pPr>
              <w:spacing w:line="240" w:lineRule="auto"/>
              <w:ind w:firstLine="0"/>
              <w:jc w:val="center"/>
              <w:rPr>
                <w:b/>
                <w:color w:val="000000" w:themeColor="text1"/>
                <w:lang w:val="en-US"/>
              </w:rPr>
            </w:pPr>
            <w:r w:rsidRPr="00094ACD">
              <w:rPr>
                <w:b/>
                <w:color w:val="000000" w:themeColor="text1"/>
              </w:rPr>
              <w:t>10</w:t>
            </w:r>
          </w:p>
          <w:p w:rsidR="00076A48" w:rsidRPr="00094ACD" w:rsidRDefault="00076A48" w:rsidP="00076A48">
            <w:pPr>
              <w:spacing w:line="240" w:lineRule="auto"/>
              <w:ind w:firstLine="0"/>
              <w:jc w:val="center"/>
              <w:rPr>
                <w:b/>
                <w:color w:val="000000" w:themeColor="text1"/>
                <w:lang w:val="en-US"/>
              </w:rPr>
            </w:pPr>
            <w:r w:rsidRPr="00094ACD">
              <w:rPr>
                <w:b/>
                <w:color w:val="000000" w:themeColor="text1"/>
                <w:lang w:val="en-US"/>
              </w:rPr>
              <w:t>N=20</w:t>
            </w:r>
          </w:p>
        </w:tc>
        <w:tc>
          <w:tcPr>
            <w:tcW w:w="1106" w:type="dxa"/>
            <w:shd w:val="clear" w:color="auto" w:fill="auto"/>
            <w:vAlign w:val="center"/>
          </w:tcPr>
          <w:p w:rsidR="00076A48" w:rsidRPr="00094ACD" w:rsidRDefault="00076A48" w:rsidP="00076A48">
            <w:pPr>
              <w:spacing w:line="240" w:lineRule="auto"/>
              <w:ind w:firstLine="0"/>
              <w:jc w:val="center"/>
              <w:rPr>
                <w:b/>
                <w:color w:val="000000" w:themeColor="text1"/>
                <w:lang w:val="en-US"/>
              </w:rPr>
            </w:pPr>
            <w:r w:rsidRPr="00094ACD">
              <w:rPr>
                <w:b/>
                <w:color w:val="000000" w:themeColor="text1"/>
              </w:rPr>
              <w:t>Усього</w:t>
            </w:r>
          </w:p>
          <w:p w:rsidR="00076A48" w:rsidRPr="00094ACD" w:rsidRDefault="00076A48" w:rsidP="00076A48">
            <w:pPr>
              <w:spacing w:line="240" w:lineRule="auto"/>
              <w:ind w:firstLine="0"/>
              <w:jc w:val="center"/>
              <w:rPr>
                <w:b/>
                <w:color w:val="000000" w:themeColor="text1"/>
                <w:lang w:val="en-US"/>
              </w:rPr>
            </w:pPr>
            <w:r w:rsidRPr="00094ACD">
              <w:rPr>
                <w:b/>
                <w:color w:val="000000" w:themeColor="text1"/>
                <w:lang w:val="en-US"/>
              </w:rPr>
              <w:t>N=118</w:t>
            </w:r>
          </w:p>
        </w:tc>
      </w:tr>
      <w:tr w:rsidR="00076A48" w:rsidRPr="00094ACD" w:rsidTr="00076A48">
        <w:tc>
          <w:tcPr>
            <w:tcW w:w="3526" w:type="dxa"/>
            <w:shd w:val="clear" w:color="auto" w:fill="auto"/>
          </w:tcPr>
          <w:p w:rsidR="00076A48" w:rsidRPr="00094ACD" w:rsidRDefault="00076A48" w:rsidP="00076A48">
            <w:pPr>
              <w:spacing w:line="240" w:lineRule="auto"/>
              <w:ind w:firstLine="0"/>
              <w:rPr>
                <w:color w:val="000000" w:themeColor="text1"/>
              </w:rPr>
            </w:pPr>
            <w:r w:rsidRPr="00094ACD">
              <w:rPr>
                <w:color w:val="000000" w:themeColor="text1"/>
              </w:rPr>
              <w:t>схильність до порушення норм і правил</w:t>
            </w:r>
          </w:p>
        </w:tc>
        <w:tc>
          <w:tcPr>
            <w:tcW w:w="899"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0</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0</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0</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2</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2</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1</w:t>
            </w:r>
          </w:p>
        </w:tc>
        <w:tc>
          <w:tcPr>
            <w:tcW w:w="1106" w:type="dxa"/>
            <w:shd w:val="clear" w:color="auto" w:fill="auto"/>
            <w:vAlign w:val="center"/>
          </w:tcPr>
          <w:p w:rsidR="00076A48" w:rsidRPr="00094ACD" w:rsidRDefault="00076A48" w:rsidP="00076A48">
            <w:pPr>
              <w:spacing w:line="240" w:lineRule="auto"/>
              <w:ind w:firstLine="0"/>
              <w:jc w:val="center"/>
              <w:rPr>
                <w:b/>
                <w:color w:val="000000" w:themeColor="text1"/>
              </w:rPr>
            </w:pPr>
            <w:r w:rsidRPr="00094ACD">
              <w:rPr>
                <w:b/>
                <w:color w:val="000000" w:themeColor="text1"/>
              </w:rPr>
              <w:t>3</w:t>
            </w:r>
          </w:p>
        </w:tc>
      </w:tr>
      <w:tr w:rsidR="00076A48" w:rsidRPr="00094ACD" w:rsidTr="00076A48">
        <w:tc>
          <w:tcPr>
            <w:tcW w:w="3526" w:type="dxa"/>
            <w:shd w:val="clear" w:color="auto" w:fill="auto"/>
          </w:tcPr>
          <w:p w:rsidR="00076A48" w:rsidRPr="00094ACD" w:rsidRDefault="00076A48" w:rsidP="00076A48">
            <w:pPr>
              <w:spacing w:line="240" w:lineRule="auto"/>
              <w:ind w:firstLine="0"/>
              <w:rPr>
                <w:color w:val="000000" w:themeColor="text1"/>
              </w:rPr>
            </w:pPr>
            <w:r w:rsidRPr="00094ACD">
              <w:rPr>
                <w:color w:val="000000" w:themeColor="text1"/>
              </w:rPr>
              <w:t>схильність до адиктивної поведінки</w:t>
            </w:r>
          </w:p>
        </w:tc>
        <w:tc>
          <w:tcPr>
            <w:tcW w:w="899"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0</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0</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0</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5</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5</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16</w:t>
            </w:r>
          </w:p>
        </w:tc>
        <w:tc>
          <w:tcPr>
            <w:tcW w:w="1106" w:type="dxa"/>
            <w:shd w:val="clear" w:color="auto" w:fill="auto"/>
            <w:vAlign w:val="center"/>
          </w:tcPr>
          <w:p w:rsidR="00076A48" w:rsidRPr="00094ACD" w:rsidRDefault="00076A48" w:rsidP="00076A48">
            <w:pPr>
              <w:spacing w:line="240" w:lineRule="auto"/>
              <w:ind w:firstLine="0"/>
              <w:jc w:val="center"/>
              <w:rPr>
                <w:b/>
                <w:color w:val="000000" w:themeColor="text1"/>
              </w:rPr>
            </w:pPr>
            <w:r w:rsidRPr="00094ACD">
              <w:rPr>
                <w:b/>
                <w:color w:val="000000" w:themeColor="text1"/>
              </w:rPr>
              <w:t>4</w:t>
            </w:r>
          </w:p>
        </w:tc>
      </w:tr>
      <w:tr w:rsidR="00076A48" w:rsidRPr="00094ACD" w:rsidTr="00076A48">
        <w:tc>
          <w:tcPr>
            <w:tcW w:w="3526" w:type="dxa"/>
            <w:shd w:val="clear" w:color="auto" w:fill="auto"/>
          </w:tcPr>
          <w:p w:rsidR="00076A48" w:rsidRPr="00094ACD" w:rsidRDefault="00076A48" w:rsidP="00076A48">
            <w:pPr>
              <w:spacing w:line="240" w:lineRule="auto"/>
              <w:ind w:firstLine="0"/>
              <w:rPr>
                <w:color w:val="000000" w:themeColor="text1"/>
              </w:rPr>
            </w:pPr>
            <w:r w:rsidRPr="00094ACD">
              <w:rPr>
                <w:color w:val="000000" w:themeColor="text1"/>
              </w:rPr>
              <w:t>схильність до самоушкодження і саморуйнування</w:t>
            </w:r>
          </w:p>
        </w:tc>
        <w:tc>
          <w:tcPr>
            <w:tcW w:w="899"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0</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5</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8</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7</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15</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1</w:t>
            </w:r>
          </w:p>
        </w:tc>
        <w:tc>
          <w:tcPr>
            <w:tcW w:w="1106" w:type="dxa"/>
            <w:shd w:val="clear" w:color="auto" w:fill="auto"/>
            <w:vAlign w:val="center"/>
          </w:tcPr>
          <w:p w:rsidR="00076A48" w:rsidRPr="00094ACD" w:rsidRDefault="00076A48" w:rsidP="00076A48">
            <w:pPr>
              <w:spacing w:line="240" w:lineRule="auto"/>
              <w:ind w:firstLine="0"/>
              <w:jc w:val="center"/>
              <w:rPr>
                <w:b/>
                <w:color w:val="000000" w:themeColor="text1"/>
              </w:rPr>
            </w:pPr>
            <w:r w:rsidRPr="00094ACD">
              <w:rPr>
                <w:b/>
                <w:color w:val="000000" w:themeColor="text1"/>
              </w:rPr>
              <w:t>10</w:t>
            </w:r>
          </w:p>
        </w:tc>
      </w:tr>
      <w:tr w:rsidR="00076A48" w:rsidRPr="00094ACD" w:rsidTr="00076A48">
        <w:tc>
          <w:tcPr>
            <w:tcW w:w="3526" w:type="dxa"/>
            <w:shd w:val="clear" w:color="auto" w:fill="auto"/>
          </w:tcPr>
          <w:p w:rsidR="00076A48" w:rsidRPr="00094ACD" w:rsidRDefault="00076A48" w:rsidP="00076A48">
            <w:pPr>
              <w:spacing w:line="240" w:lineRule="auto"/>
              <w:ind w:firstLine="0"/>
              <w:rPr>
                <w:color w:val="000000" w:themeColor="text1"/>
              </w:rPr>
            </w:pPr>
            <w:r w:rsidRPr="00094ACD">
              <w:rPr>
                <w:color w:val="000000" w:themeColor="text1"/>
              </w:rPr>
              <w:t>схильність до агресії і насильства</w:t>
            </w:r>
          </w:p>
        </w:tc>
        <w:tc>
          <w:tcPr>
            <w:tcW w:w="899"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3</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0</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3</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2</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7</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13</w:t>
            </w:r>
          </w:p>
        </w:tc>
        <w:tc>
          <w:tcPr>
            <w:tcW w:w="1106" w:type="dxa"/>
            <w:shd w:val="clear" w:color="auto" w:fill="auto"/>
            <w:vAlign w:val="center"/>
          </w:tcPr>
          <w:p w:rsidR="00076A48" w:rsidRPr="00094ACD" w:rsidRDefault="00076A48" w:rsidP="00076A48">
            <w:pPr>
              <w:spacing w:line="240" w:lineRule="auto"/>
              <w:ind w:firstLine="0"/>
              <w:jc w:val="center"/>
              <w:rPr>
                <w:b/>
                <w:color w:val="000000" w:themeColor="text1"/>
              </w:rPr>
            </w:pPr>
            <w:r w:rsidRPr="00094ACD">
              <w:rPr>
                <w:b/>
                <w:color w:val="000000" w:themeColor="text1"/>
              </w:rPr>
              <w:t>5</w:t>
            </w:r>
          </w:p>
        </w:tc>
      </w:tr>
      <w:tr w:rsidR="00076A48" w:rsidRPr="00094ACD" w:rsidTr="00076A48">
        <w:tc>
          <w:tcPr>
            <w:tcW w:w="3526" w:type="dxa"/>
            <w:shd w:val="clear" w:color="auto" w:fill="auto"/>
          </w:tcPr>
          <w:p w:rsidR="00076A48" w:rsidRPr="00094ACD" w:rsidRDefault="00076A48" w:rsidP="00076A48">
            <w:pPr>
              <w:spacing w:line="240" w:lineRule="auto"/>
              <w:ind w:firstLine="0"/>
              <w:rPr>
                <w:color w:val="000000" w:themeColor="text1"/>
              </w:rPr>
            </w:pPr>
            <w:r w:rsidRPr="00094ACD">
              <w:rPr>
                <w:color w:val="000000" w:themeColor="text1"/>
              </w:rPr>
              <w:t>схильність до делінквентної поведінки</w:t>
            </w:r>
          </w:p>
        </w:tc>
        <w:tc>
          <w:tcPr>
            <w:tcW w:w="899"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3</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0</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8</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10</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2</w:t>
            </w:r>
          </w:p>
        </w:tc>
        <w:tc>
          <w:tcPr>
            <w:tcW w:w="900" w:type="dxa"/>
            <w:shd w:val="clear" w:color="auto" w:fill="auto"/>
            <w:vAlign w:val="center"/>
          </w:tcPr>
          <w:p w:rsidR="00076A48" w:rsidRPr="00094ACD" w:rsidRDefault="00076A48" w:rsidP="00076A48">
            <w:pPr>
              <w:spacing w:line="240" w:lineRule="auto"/>
              <w:ind w:firstLine="0"/>
              <w:jc w:val="center"/>
              <w:rPr>
                <w:color w:val="000000" w:themeColor="text1"/>
              </w:rPr>
            </w:pPr>
            <w:r w:rsidRPr="00094ACD">
              <w:rPr>
                <w:color w:val="000000" w:themeColor="text1"/>
              </w:rPr>
              <w:t>26</w:t>
            </w:r>
          </w:p>
        </w:tc>
        <w:tc>
          <w:tcPr>
            <w:tcW w:w="1106" w:type="dxa"/>
            <w:shd w:val="clear" w:color="auto" w:fill="auto"/>
            <w:vAlign w:val="center"/>
          </w:tcPr>
          <w:p w:rsidR="00076A48" w:rsidRPr="00094ACD" w:rsidRDefault="00076A48" w:rsidP="00076A48">
            <w:pPr>
              <w:spacing w:line="240" w:lineRule="auto"/>
              <w:ind w:firstLine="0"/>
              <w:jc w:val="center"/>
              <w:rPr>
                <w:b/>
                <w:color w:val="000000" w:themeColor="text1"/>
              </w:rPr>
            </w:pPr>
            <w:r w:rsidRPr="00094ACD">
              <w:rPr>
                <w:b/>
                <w:color w:val="000000" w:themeColor="text1"/>
              </w:rPr>
              <w:t>8</w:t>
            </w:r>
          </w:p>
        </w:tc>
      </w:tr>
      <w:tr w:rsidR="00076A48" w:rsidRPr="00094ACD" w:rsidTr="00076A48">
        <w:tc>
          <w:tcPr>
            <w:tcW w:w="3526" w:type="dxa"/>
            <w:shd w:val="clear" w:color="auto" w:fill="auto"/>
          </w:tcPr>
          <w:p w:rsidR="00076A48" w:rsidRPr="00094ACD" w:rsidRDefault="00076A48" w:rsidP="00076A48">
            <w:pPr>
              <w:spacing w:line="240" w:lineRule="auto"/>
              <w:ind w:firstLine="0"/>
              <w:rPr>
                <w:color w:val="000000" w:themeColor="text1"/>
              </w:rPr>
            </w:pPr>
            <w:r w:rsidRPr="00094ACD">
              <w:rPr>
                <w:color w:val="000000" w:themeColor="text1"/>
              </w:rPr>
              <w:t>Всього:</w:t>
            </w:r>
          </w:p>
        </w:tc>
        <w:tc>
          <w:tcPr>
            <w:tcW w:w="899" w:type="dxa"/>
            <w:shd w:val="clear" w:color="auto" w:fill="auto"/>
          </w:tcPr>
          <w:p w:rsidR="00076A48" w:rsidRPr="00094ACD" w:rsidRDefault="00076A48" w:rsidP="00076A48">
            <w:pPr>
              <w:spacing w:line="240" w:lineRule="auto"/>
              <w:ind w:firstLine="0"/>
              <w:jc w:val="center"/>
              <w:rPr>
                <w:b/>
                <w:color w:val="000000" w:themeColor="text1"/>
              </w:rPr>
            </w:pPr>
            <w:r w:rsidRPr="00094ACD">
              <w:rPr>
                <w:b/>
                <w:color w:val="000000" w:themeColor="text1"/>
              </w:rPr>
              <w:t>5</w:t>
            </w:r>
          </w:p>
        </w:tc>
        <w:tc>
          <w:tcPr>
            <w:tcW w:w="900" w:type="dxa"/>
            <w:shd w:val="clear" w:color="auto" w:fill="auto"/>
          </w:tcPr>
          <w:p w:rsidR="00076A48" w:rsidRPr="00094ACD" w:rsidRDefault="00076A48" w:rsidP="00076A48">
            <w:pPr>
              <w:spacing w:line="240" w:lineRule="auto"/>
              <w:ind w:firstLine="0"/>
              <w:jc w:val="center"/>
              <w:rPr>
                <w:b/>
                <w:color w:val="000000" w:themeColor="text1"/>
              </w:rPr>
            </w:pPr>
            <w:r w:rsidRPr="00094ACD">
              <w:rPr>
                <w:b/>
                <w:color w:val="000000" w:themeColor="text1"/>
              </w:rPr>
              <w:t>5</w:t>
            </w:r>
          </w:p>
        </w:tc>
        <w:tc>
          <w:tcPr>
            <w:tcW w:w="900" w:type="dxa"/>
            <w:shd w:val="clear" w:color="auto" w:fill="auto"/>
          </w:tcPr>
          <w:p w:rsidR="00076A48" w:rsidRPr="00094ACD" w:rsidRDefault="00076A48" w:rsidP="00076A48">
            <w:pPr>
              <w:spacing w:line="240" w:lineRule="auto"/>
              <w:ind w:firstLine="0"/>
              <w:jc w:val="center"/>
              <w:rPr>
                <w:b/>
                <w:color w:val="000000" w:themeColor="text1"/>
              </w:rPr>
            </w:pPr>
            <w:r w:rsidRPr="00094ACD">
              <w:rPr>
                <w:b/>
                <w:color w:val="000000" w:themeColor="text1"/>
              </w:rPr>
              <w:t>14</w:t>
            </w:r>
          </w:p>
        </w:tc>
        <w:tc>
          <w:tcPr>
            <w:tcW w:w="900" w:type="dxa"/>
            <w:shd w:val="clear" w:color="auto" w:fill="auto"/>
          </w:tcPr>
          <w:p w:rsidR="00076A48" w:rsidRPr="00094ACD" w:rsidRDefault="00076A48" w:rsidP="00076A48">
            <w:pPr>
              <w:spacing w:line="240" w:lineRule="auto"/>
              <w:ind w:firstLine="0"/>
              <w:jc w:val="center"/>
              <w:rPr>
                <w:b/>
                <w:color w:val="000000" w:themeColor="text1"/>
              </w:rPr>
            </w:pPr>
            <w:r w:rsidRPr="00094ACD">
              <w:rPr>
                <w:b/>
                <w:color w:val="000000" w:themeColor="text1"/>
              </w:rPr>
              <w:t>12</w:t>
            </w:r>
          </w:p>
        </w:tc>
        <w:tc>
          <w:tcPr>
            <w:tcW w:w="900" w:type="dxa"/>
            <w:shd w:val="clear" w:color="auto" w:fill="auto"/>
          </w:tcPr>
          <w:p w:rsidR="00076A48" w:rsidRPr="00094ACD" w:rsidRDefault="00076A48" w:rsidP="00076A48">
            <w:pPr>
              <w:spacing w:line="240" w:lineRule="auto"/>
              <w:ind w:firstLine="0"/>
              <w:jc w:val="center"/>
              <w:rPr>
                <w:b/>
                <w:color w:val="000000" w:themeColor="text1"/>
              </w:rPr>
            </w:pPr>
            <w:r w:rsidRPr="00094ACD">
              <w:rPr>
                <w:b/>
                <w:color w:val="000000" w:themeColor="text1"/>
              </w:rPr>
              <w:t>20</w:t>
            </w:r>
          </w:p>
        </w:tc>
        <w:tc>
          <w:tcPr>
            <w:tcW w:w="900" w:type="dxa"/>
            <w:shd w:val="clear" w:color="auto" w:fill="auto"/>
          </w:tcPr>
          <w:p w:rsidR="00076A48" w:rsidRPr="00094ACD" w:rsidRDefault="00076A48" w:rsidP="00076A48">
            <w:pPr>
              <w:spacing w:line="240" w:lineRule="auto"/>
              <w:ind w:firstLine="0"/>
              <w:jc w:val="center"/>
              <w:rPr>
                <w:b/>
                <w:color w:val="000000" w:themeColor="text1"/>
              </w:rPr>
            </w:pPr>
            <w:r w:rsidRPr="00094ACD">
              <w:rPr>
                <w:b/>
                <w:color w:val="000000" w:themeColor="text1"/>
              </w:rPr>
              <w:t>37</w:t>
            </w:r>
          </w:p>
        </w:tc>
        <w:tc>
          <w:tcPr>
            <w:tcW w:w="1106" w:type="dxa"/>
            <w:shd w:val="clear" w:color="auto" w:fill="auto"/>
          </w:tcPr>
          <w:p w:rsidR="00076A48" w:rsidRPr="00094ACD" w:rsidRDefault="00076A48" w:rsidP="00076A48">
            <w:pPr>
              <w:spacing w:line="240" w:lineRule="auto"/>
              <w:ind w:firstLine="0"/>
              <w:jc w:val="center"/>
              <w:rPr>
                <w:b/>
                <w:i/>
                <w:color w:val="000000" w:themeColor="text1"/>
              </w:rPr>
            </w:pPr>
            <w:r w:rsidRPr="00094ACD">
              <w:rPr>
                <w:b/>
                <w:i/>
                <w:color w:val="000000" w:themeColor="text1"/>
              </w:rPr>
              <w:t>16</w:t>
            </w:r>
          </w:p>
        </w:tc>
      </w:tr>
    </w:tbl>
    <w:p w:rsidR="00B55DF0" w:rsidRDefault="00B55DF0" w:rsidP="00B55DF0">
      <w:pPr>
        <w:ind w:firstLine="709"/>
        <w:rPr>
          <w:color w:val="FF0000"/>
        </w:rPr>
      </w:pPr>
    </w:p>
    <w:p w:rsidR="00076A48" w:rsidRPr="00076A48" w:rsidRDefault="00076A48" w:rsidP="00076A48">
      <w:pPr>
        <w:rPr>
          <w:color w:val="000000" w:themeColor="text1"/>
        </w:rPr>
      </w:pPr>
      <w:r w:rsidRPr="00076A48">
        <w:rPr>
          <w:color w:val="000000" w:themeColor="text1"/>
        </w:rPr>
        <w:t xml:space="preserve">П’ятий клас характеризується появою серед хлопчиків схильностей до делінквентної поведінки та до агресії і насильства. В шостому класі з’являється схильність до самоушкодження, в сьомому і восьмому класах яскраво виражена серед хлопців схильність до делінквентної поведінки, у дев’ятому класі спостерігаються всі види девіацій (крім делінквентної поведінки) в поодиноких </w:t>
      </w:r>
      <w:r w:rsidRPr="00076A48">
        <w:rPr>
          <w:color w:val="000000" w:themeColor="text1"/>
        </w:rPr>
        <w:lastRenderedPageBreak/>
        <w:t xml:space="preserve">випадках (5 % – це 1 особа, коли </w:t>
      </w:r>
      <w:r w:rsidRPr="00076A48">
        <w:rPr>
          <w:color w:val="000000" w:themeColor="text1"/>
          <w:lang w:val="en-US"/>
        </w:rPr>
        <w:t>N</w:t>
      </w:r>
      <w:r w:rsidRPr="00076A48">
        <w:rPr>
          <w:color w:val="000000" w:themeColor="text1"/>
        </w:rPr>
        <w:t xml:space="preserve">=20). У десятому класі найбільше хлопців, що мають схильність до самоушкодження (33 %), трохи менше їх зі схильностями до делінквентної поведінки і до агресії (по 28 %). В цій же віковій категорії значно зростає чисельність хлопців, що мають схильність до адиктивної поведінки (22 %) і трохи зростає кількість осіб, схильних до порушень норм і правил (6 %). </w:t>
      </w:r>
    </w:p>
    <w:p w:rsidR="00076A48" w:rsidRPr="00076A48" w:rsidRDefault="00076A48" w:rsidP="00076A48">
      <w:pPr>
        <w:ind w:firstLine="709"/>
        <w:rPr>
          <w:color w:val="000000" w:themeColor="text1"/>
        </w:rPr>
      </w:pPr>
      <w:r w:rsidRPr="00076A48">
        <w:rPr>
          <w:color w:val="000000" w:themeColor="text1"/>
        </w:rPr>
        <w:t>16 % опитаних мають схильності до девіантної поведінки 17% хлопців і 14 % дівчат. Найбільш розповсюдженими девіаціями для обох статей є схильність до самоушкодження та схильність до делінквентної поведінки.</w:t>
      </w:r>
    </w:p>
    <w:p w:rsidR="00076A48" w:rsidRPr="00076A48" w:rsidRDefault="00076A48" w:rsidP="00076A48">
      <w:pPr>
        <w:ind w:firstLine="709"/>
        <w:rPr>
          <w:color w:val="000000" w:themeColor="text1"/>
        </w:rPr>
      </w:pPr>
      <w:r w:rsidRPr="00076A48">
        <w:rPr>
          <w:color w:val="000000" w:themeColor="text1"/>
        </w:rPr>
        <w:t>Загалом, схильності до девіантної поведінки з’являють</w:t>
      </w:r>
      <w:r w:rsidR="004A5648">
        <w:rPr>
          <w:color w:val="000000" w:themeColor="text1"/>
        </w:rPr>
        <w:t>ся у п’ятому класі</w:t>
      </w:r>
      <w:r w:rsidRPr="00076A48">
        <w:rPr>
          <w:color w:val="000000" w:themeColor="text1"/>
        </w:rPr>
        <w:t xml:space="preserve">, в сьомому класі відбувається їх збільшення до 14 %, у восьмому класі – зменшення на 2 % і зростання до 20 %  у дев’ятому класі, коли зростає установка на соціальну бажаність. </w:t>
      </w:r>
    </w:p>
    <w:p w:rsidR="00076A48" w:rsidRPr="00076A48" w:rsidRDefault="00076A48" w:rsidP="00076A48">
      <w:pPr>
        <w:ind w:firstLine="709"/>
        <w:rPr>
          <w:color w:val="000000" w:themeColor="text1"/>
        </w:rPr>
      </w:pPr>
      <w:r w:rsidRPr="00076A48">
        <w:rPr>
          <w:color w:val="000000" w:themeColor="text1"/>
        </w:rPr>
        <w:t xml:space="preserve">Найбільша кількість дітей, схильних до девіантної поведінки, сконцентрована у десятих класах (37 %). </w:t>
      </w:r>
    </w:p>
    <w:p w:rsidR="005E6630" w:rsidRDefault="00076A48" w:rsidP="005E6630">
      <w:pPr>
        <w:ind w:firstLine="709"/>
        <w:rPr>
          <w:color w:val="000000" w:themeColor="text1"/>
        </w:rPr>
      </w:pPr>
      <w:r w:rsidRPr="00076A48">
        <w:rPr>
          <w:color w:val="000000" w:themeColor="text1"/>
        </w:rPr>
        <w:t>В цілому, всі п’ять видів девіантної поведінки з’являються у школярів уже у восьмому класі, це означає, що превентивні заходи (для обох статей) слід починати проводити до восьмого класу.</w:t>
      </w:r>
    </w:p>
    <w:p w:rsidR="00B20437" w:rsidRPr="005E6630" w:rsidRDefault="00123FD7" w:rsidP="005E6630">
      <w:pPr>
        <w:ind w:firstLine="709"/>
        <w:rPr>
          <w:color w:val="000000" w:themeColor="text1"/>
        </w:rPr>
      </w:pPr>
      <w:r>
        <w:rPr>
          <w:b/>
        </w:rPr>
        <w:t xml:space="preserve">Висновки. </w:t>
      </w:r>
      <w:r w:rsidR="00B20437" w:rsidRPr="005D6FB0">
        <w:t xml:space="preserve">Аналіз </w:t>
      </w:r>
      <w:r w:rsidR="00B20437">
        <w:t xml:space="preserve">проявів девіацій у поведінці сучасних учнів </w:t>
      </w:r>
      <w:r w:rsidR="00B20437" w:rsidRPr="005D6FB0">
        <w:t>здійснено на основі</w:t>
      </w:r>
      <w:r w:rsidR="00B20437">
        <w:t xml:space="preserve"> застосування відповідної методики, у результаті чого констатовано:</w:t>
      </w:r>
    </w:p>
    <w:p w:rsidR="00B20437" w:rsidRDefault="00B20437" w:rsidP="00B20437">
      <w:pPr>
        <w:numPr>
          <w:ilvl w:val="0"/>
          <w:numId w:val="7"/>
        </w:numPr>
      </w:pPr>
      <w:r w:rsidRPr="002D5BAB">
        <w:t xml:space="preserve">16 % усіх опитаних респондентів мають схильності до девіантної поведінки. Найбільша </w:t>
      </w:r>
      <w:r>
        <w:t xml:space="preserve">їх </w:t>
      </w:r>
      <w:r w:rsidRPr="002D5BAB">
        <w:t>кількість</w:t>
      </w:r>
      <w:r>
        <w:t xml:space="preserve"> </w:t>
      </w:r>
      <w:r w:rsidRPr="002D5BAB">
        <w:t>сконцентрована у десятих класах (37 %)</w:t>
      </w:r>
      <w:r>
        <w:t>;</w:t>
      </w:r>
    </w:p>
    <w:p w:rsidR="00B20437" w:rsidRDefault="00B20437" w:rsidP="00B20437">
      <w:pPr>
        <w:numPr>
          <w:ilvl w:val="0"/>
          <w:numId w:val="7"/>
        </w:numPr>
      </w:pPr>
      <w:r>
        <w:t xml:space="preserve">найпоширенішими проявами девіацій </w:t>
      </w:r>
      <w:r w:rsidRPr="002D5BAB">
        <w:t>серед учнів 5–10 класів є схильність до самоушкодження та до делінквентної поведінки</w:t>
      </w:r>
      <w:r>
        <w:t>;</w:t>
      </w:r>
    </w:p>
    <w:p w:rsidR="00B20437" w:rsidRDefault="00B20437" w:rsidP="00B20437">
      <w:pPr>
        <w:numPr>
          <w:ilvl w:val="0"/>
          <w:numId w:val="7"/>
        </w:numPr>
      </w:pPr>
      <w:r>
        <w:t>с</w:t>
      </w:r>
      <w:r w:rsidRPr="002D5BAB">
        <w:t>хильності до порушення норм і правил і до адиктивної поведінки у школярів з’являються у восьмому класі і значно зростають в десятому класі</w:t>
      </w:r>
      <w:r>
        <w:t>;</w:t>
      </w:r>
    </w:p>
    <w:p w:rsidR="00B20437" w:rsidRDefault="00B20437" w:rsidP="00B20437">
      <w:pPr>
        <w:numPr>
          <w:ilvl w:val="0"/>
          <w:numId w:val="7"/>
        </w:numPr>
      </w:pPr>
      <w:r>
        <w:lastRenderedPageBreak/>
        <w:t>н</w:t>
      </w:r>
      <w:r w:rsidRPr="002D5BAB">
        <w:t>айбільш орієнтованими на соціально бажані відповіді виявились учні п’ятих класів (95 </w:t>
      </w:r>
      <w:r>
        <w:t>%)</w:t>
      </w:r>
      <w:r w:rsidRPr="002D5BAB">
        <w:t xml:space="preserve">. </w:t>
      </w:r>
      <w:r>
        <w:t xml:space="preserve">Водночас, </w:t>
      </w:r>
      <w:r w:rsidRPr="002D5BAB">
        <w:t xml:space="preserve">у п’ятому класі майже </w:t>
      </w:r>
      <w:r>
        <w:t xml:space="preserve">не виявлені </w:t>
      </w:r>
      <w:r w:rsidRPr="002D5BAB">
        <w:t>будь які прояви девіантної поведінки</w:t>
      </w:r>
      <w:r>
        <w:t xml:space="preserve">, що </w:t>
      </w:r>
      <w:r w:rsidRPr="002D5BAB">
        <w:t>може бути пов’язан</w:t>
      </w:r>
      <w:r>
        <w:t xml:space="preserve">о </w:t>
      </w:r>
      <w:r w:rsidRPr="002D5BAB">
        <w:t xml:space="preserve">з прагненням </w:t>
      </w:r>
      <w:r>
        <w:t xml:space="preserve">учнів </w:t>
      </w:r>
      <w:r w:rsidRPr="002D5BAB">
        <w:t>до схвалення та високою орієнтацією на позитивну оцінку своїх вчинків та дій значимими дор</w:t>
      </w:r>
      <w:r>
        <w:t>ослими (вчителі, батьки та ін.);</w:t>
      </w:r>
    </w:p>
    <w:p w:rsidR="00B20437" w:rsidRDefault="00B20437" w:rsidP="00B20437">
      <w:pPr>
        <w:numPr>
          <w:ilvl w:val="0"/>
          <w:numId w:val="7"/>
        </w:numPr>
      </w:pPr>
      <w:r w:rsidRPr="002D5BAB">
        <w:t>3 % від загальної кількості опитаних школярів мають виражену схильність до</w:t>
      </w:r>
      <w:r w:rsidRPr="00C47801">
        <w:rPr>
          <w:color w:val="FF0000"/>
        </w:rPr>
        <w:t xml:space="preserve"> </w:t>
      </w:r>
      <w:r w:rsidRPr="009B7115">
        <w:t>порушення норм і правил</w:t>
      </w:r>
      <w:r>
        <w:t>.</w:t>
      </w:r>
      <w:r w:rsidRPr="009B7115">
        <w:t xml:space="preserve"> </w:t>
      </w:r>
      <w:r>
        <w:t>Дана с</w:t>
      </w:r>
      <w:r w:rsidRPr="009B7115">
        <w:t>хильність з’явля</w:t>
      </w:r>
      <w:r>
        <w:t xml:space="preserve">ється </w:t>
      </w:r>
      <w:r w:rsidRPr="009B7115">
        <w:t>з восьмого класу</w:t>
      </w:r>
      <w:r>
        <w:t>, а в</w:t>
      </w:r>
      <w:r w:rsidRPr="009B7115">
        <w:t xml:space="preserve"> десятому класі зростає до 11</w:t>
      </w:r>
      <w:r>
        <w:t> </w:t>
      </w:r>
      <w:r w:rsidRPr="009B7115">
        <w:t>%</w:t>
      </w:r>
      <w:r>
        <w:t>;</w:t>
      </w:r>
    </w:p>
    <w:p w:rsidR="00B20437" w:rsidRDefault="00B20437" w:rsidP="00B20437">
      <w:pPr>
        <w:numPr>
          <w:ilvl w:val="0"/>
          <w:numId w:val="7"/>
        </w:numPr>
      </w:pPr>
      <w:r>
        <w:t xml:space="preserve">У </w:t>
      </w:r>
      <w:r w:rsidRPr="007A1469">
        <w:t xml:space="preserve">4% </w:t>
      </w:r>
      <w:r>
        <w:t xml:space="preserve">респондентів </w:t>
      </w:r>
      <w:r w:rsidRPr="007A1469">
        <w:t>виявлена схильність до адиктивної поведінки. Вона з</w:t>
      </w:r>
      <w:r w:rsidRPr="002E35CC">
        <w:t>’</w:t>
      </w:r>
      <w:r w:rsidRPr="007A1469">
        <w:t xml:space="preserve">являється у восьмому класі </w:t>
      </w:r>
      <w:r>
        <w:t xml:space="preserve">повільно зростаючи до 10-го класу; </w:t>
      </w:r>
    </w:p>
    <w:p w:rsidR="00B20437" w:rsidRDefault="00B20437" w:rsidP="00B20437">
      <w:pPr>
        <w:numPr>
          <w:ilvl w:val="0"/>
          <w:numId w:val="7"/>
        </w:numPr>
      </w:pPr>
      <w:r>
        <w:t>схильність до самоушкодження і саморуйнування</w:t>
      </w:r>
      <w:r w:rsidRPr="00977A22">
        <w:t xml:space="preserve"> з’являється у шостому класі серед хлоп</w:t>
      </w:r>
      <w:r>
        <w:t xml:space="preserve">ців </w:t>
      </w:r>
      <w:r w:rsidRPr="00977A22">
        <w:t>(11</w:t>
      </w:r>
      <w:r>
        <w:t> </w:t>
      </w:r>
      <w:r w:rsidRPr="00977A22">
        <w:t xml:space="preserve">%), в сьомому класі </w:t>
      </w:r>
      <w:r>
        <w:t>– і серед</w:t>
      </w:r>
      <w:r w:rsidRPr="00977A22">
        <w:t xml:space="preserve"> дівчат (12</w:t>
      </w:r>
      <w:r>
        <w:t> </w:t>
      </w:r>
      <w:r w:rsidRPr="00977A22">
        <w:t xml:space="preserve">%). У восьмому </w:t>
      </w:r>
      <w:r>
        <w:t>класі дана схильність</w:t>
      </w:r>
      <w:r w:rsidRPr="00977A22">
        <w:t xml:space="preserve"> зберігається серед хлопців на тому ж рівні</w:t>
      </w:r>
      <w:r>
        <w:t>, але</w:t>
      </w:r>
      <w:r w:rsidRPr="00977A22">
        <w:t xml:space="preserve"> стрімко збільшується  у дев’ятому класі</w:t>
      </w:r>
      <w:r>
        <w:t xml:space="preserve"> серед дівчат (2</w:t>
      </w:r>
      <w:r w:rsidRPr="00977A22">
        <w:t>5</w:t>
      </w:r>
      <w:r>
        <w:t> </w:t>
      </w:r>
      <w:r w:rsidRPr="00977A22">
        <w:t>%</w:t>
      </w:r>
      <w:r>
        <w:t>)</w:t>
      </w:r>
      <w:r w:rsidRPr="00977A22">
        <w:t>. В десятому класі кількість дівчат із вираженою схильністю яскраво спадає, а от чисельність хлопчиків зростає до 33</w:t>
      </w:r>
      <w:r>
        <w:t> </w:t>
      </w:r>
      <w:r w:rsidRPr="00977A22">
        <w:t>%.</w:t>
      </w:r>
      <w:r>
        <w:t xml:space="preserve"> Ця схильність </w:t>
      </w:r>
      <w:r w:rsidRPr="001D09F7">
        <w:t>серед п’яти вимірюваних девіацій найбільш виражен</w:t>
      </w:r>
      <w:r>
        <w:t xml:space="preserve">а </w:t>
      </w:r>
      <w:r w:rsidRPr="001D09F7">
        <w:t xml:space="preserve">для </w:t>
      </w:r>
      <w:r>
        <w:t>більшості</w:t>
      </w:r>
      <w:r w:rsidRPr="001D09F7">
        <w:t xml:space="preserve"> (окрім п’ятих класів) віко</w:t>
      </w:r>
      <w:r>
        <w:t>вих категорій і для обох статей;</w:t>
      </w:r>
    </w:p>
    <w:p w:rsidR="00B20437" w:rsidRPr="00660045" w:rsidRDefault="00B20437" w:rsidP="00B20437">
      <w:pPr>
        <w:numPr>
          <w:ilvl w:val="0"/>
          <w:numId w:val="7"/>
        </w:numPr>
      </w:pPr>
      <w:r w:rsidRPr="007109A1">
        <w:t>5</w:t>
      </w:r>
      <w:r>
        <w:t> </w:t>
      </w:r>
      <w:r w:rsidRPr="007109A1">
        <w:t xml:space="preserve">% </w:t>
      </w:r>
      <w:r>
        <w:t xml:space="preserve">усіх </w:t>
      </w:r>
      <w:r w:rsidRPr="007109A1">
        <w:t>респондентів мають виражену схи</w:t>
      </w:r>
      <w:r>
        <w:t xml:space="preserve">льність до агресії і насильства, яка </w:t>
      </w:r>
      <w:r w:rsidRPr="007109A1">
        <w:t xml:space="preserve">з’являється вже у п’ятому класі </w:t>
      </w:r>
      <w:r>
        <w:t>і повільно зростає до 9-го класу, а от у десятому стрімко збільшується до 13 % десятикласників</w:t>
      </w:r>
      <w:r w:rsidRPr="007109A1">
        <w:t>.</w:t>
      </w:r>
      <w:r>
        <w:t xml:space="preserve"> </w:t>
      </w:r>
      <w:r w:rsidRPr="00730A6F">
        <w:t xml:space="preserve">Цей факт </w:t>
      </w:r>
      <w:r>
        <w:t xml:space="preserve">підтверджує, що </w:t>
      </w:r>
      <w:r w:rsidRPr="00730A6F">
        <w:t xml:space="preserve">схильність до агресії та насильства з’являється в досить ранньому </w:t>
      </w:r>
      <w:r>
        <w:t xml:space="preserve">шкільному </w:t>
      </w:r>
      <w:r w:rsidRPr="00730A6F">
        <w:t>віці</w:t>
      </w:r>
      <w:r>
        <w:t xml:space="preserve">. </w:t>
      </w:r>
    </w:p>
    <w:p w:rsidR="00B20437" w:rsidRDefault="00B20437" w:rsidP="00B20437">
      <w:pPr>
        <w:numPr>
          <w:ilvl w:val="0"/>
          <w:numId w:val="7"/>
        </w:numPr>
      </w:pPr>
      <w:r>
        <w:t>в</w:t>
      </w:r>
      <w:r w:rsidRPr="001F2B58">
        <w:t xml:space="preserve">ольовий контроль </w:t>
      </w:r>
      <w:r>
        <w:t xml:space="preserve">емоційних реакцій </w:t>
      </w:r>
      <w:r w:rsidRPr="001F2B58">
        <w:t xml:space="preserve">чітко проявляється в учнів шостого класу, але одночасно із ним спостерігається і поява перших  девіантних проявів (5 %). У сьомому класі девіації </w:t>
      </w:r>
      <w:r>
        <w:t xml:space="preserve">з’являються </w:t>
      </w:r>
      <w:r w:rsidRPr="001F2B58">
        <w:t xml:space="preserve">вже у 14 % </w:t>
      </w:r>
      <w:r>
        <w:t>учнів</w:t>
      </w:r>
      <w:r w:rsidRPr="001F2B58">
        <w:t xml:space="preserve">. Значний ріст вольового контролю спостерігається у учнів 10-го класу, але кількість девіантних проявів не зменшується, а навпаки стрімко зростає. </w:t>
      </w:r>
      <w:r>
        <w:lastRenderedPageBreak/>
        <w:t xml:space="preserve">Відповідно, </w:t>
      </w:r>
      <w:r w:rsidRPr="001F2B58">
        <w:t>з появою здатності контролювати свої вчинки і емоції зростає і показник девіацій</w:t>
      </w:r>
      <w:r>
        <w:t>;</w:t>
      </w:r>
    </w:p>
    <w:p w:rsidR="00B20437" w:rsidRPr="00660045" w:rsidRDefault="00B20437" w:rsidP="00B20437">
      <w:pPr>
        <w:numPr>
          <w:ilvl w:val="0"/>
          <w:numId w:val="7"/>
        </w:numPr>
      </w:pPr>
      <w:r>
        <w:t>в</w:t>
      </w:r>
      <w:r w:rsidRPr="001F2B58">
        <w:t>иражена схильність до делінквентної поведінки спостерігається у 8</w:t>
      </w:r>
      <w:r>
        <w:t> </w:t>
      </w:r>
      <w:r w:rsidRPr="001F2B58">
        <w:t xml:space="preserve">% респондентів. </w:t>
      </w:r>
      <w:r>
        <w:t xml:space="preserve">Вона </w:t>
      </w:r>
      <w:r w:rsidRPr="001F2B58">
        <w:t>дуже слабо</w:t>
      </w:r>
      <w:r>
        <w:t xml:space="preserve"> проявляється у п’ятому класі, </w:t>
      </w:r>
      <w:r w:rsidRPr="002A3A3F">
        <w:t>у сьомому вона з’являється серед дівчат</w:t>
      </w:r>
      <w:r>
        <w:t>,</w:t>
      </w:r>
      <w:r w:rsidRPr="002A3A3F">
        <w:t xml:space="preserve"> зростає серед хлопців </w:t>
      </w:r>
      <w:r>
        <w:t xml:space="preserve">та досягає свого найвищого показника серед десятикласників (26 %). З огляду на це дуже важливо проводити профілактичну роботу, спрямовану на попередження </w:t>
      </w:r>
      <w:r w:rsidRPr="002A3A3F">
        <w:t>делінквентної поведінки</w:t>
      </w:r>
      <w:r>
        <w:t>, починаючи з п’ятого класу, коли дана схильність ще не стає для дитини нормою поведінки і не вважається прийнятною.</w:t>
      </w:r>
    </w:p>
    <w:p w:rsidR="00076A48" w:rsidRPr="00B20437" w:rsidRDefault="00123FD7" w:rsidP="00B20437">
      <w:pPr>
        <w:ind w:firstLine="709"/>
        <w:rPr>
          <w:color w:val="000000" w:themeColor="text1"/>
        </w:rPr>
      </w:pPr>
      <w:r>
        <w:rPr>
          <w:b/>
        </w:rPr>
        <w:t xml:space="preserve">Перспективи досліджень. </w:t>
      </w:r>
      <w:r w:rsidR="00B20437" w:rsidRPr="00B20437">
        <w:rPr>
          <w:color w:val="000000" w:themeColor="text1"/>
        </w:rPr>
        <w:t>Перспективою подальших досліджень стає аналіз життєвих цінностей в учнів з проявами девіантної поведінки.</w:t>
      </w:r>
    </w:p>
    <w:p w:rsidR="00B20437" w:rsidRPr="00C2478F" w:rsidRDefault="00C2478F" w:rsidP="00C2478F">
      <w:pPr>
        <w:ind w:firstLine="0"/>
        <w:jc w:val="center"/>
        <w:rPr>
          <w:color w:val="000000" w:themeColor="text1"/>
        </w:rPr>
      </w:pPr>
      <w:r w:rsidRPr="00C2478F">
        <w:rPr>
          <w:color w:val="000000" w:themeColor="text1"/>
        </w:rPr>
        <w:t>СПИСОК ЛІТЕРАТУРИ:</w:t>
      </w:r>
    </w:p>
    <w:p w:rsidR="00C2478F" w:rsidRPr="00B83647" w:rsidRDefault="00C2478F" w:rsidP="00C2478F">
      <w:pPr>
        <w:numPr>
          <w:ilvl w:val="0"/>
          <w:numId w:val="8"/>
        </w:numPr>
      </w:pPr>
      <w:r>
        <w:t>Важковиховуваність : сутність, причини, реабілітація : навч. пос. для соціальних педагогів та практичних психологів освітніх закладів. за ред. О.М. Полякової. Суми : Університетська книга, 2009. 346 с.</w:t>
      </w:r>
    </w:p>
    <w:p w:rsidR="00C2478F" w:rsidRPr="00AB41C9" w:rsidRDefault="00C2478F" w:rsidP="00C2478F">
      <w:pPr>
        <w:ind w:firstLine="0"/>
        <w:rPr>
          <w:color w:val="FF0000"/>
        </w:rPr>
      </w:pPr>
    </w:p>
    <w:p w:rsidR="00B55DF0" w:rsidRPr="00AB41C9" w:rsidRDefault="00B55DF0" w:rsidP="00B55DF0">
      <w:pPr>
        <w:ind w:firstLine="709"/>
        <w:rPr>
          <w:color w:val="FF0000"/>
        </w:rPr>
      </w:pPr>
    </w:p>
    <w:p w:rsidR="00B55DF0" w:rsidRPr="00B55DF0" w:rsidRDefault="00B55DF0" w:rsidP="00B55DF0">
      <w:pPr>
        <w:ind w:firstLine="709"/>
        <w:rPr>
          <w:color w:val="000000" w:themeColor="text1"/>
        </w:rPr>
      </w:pPr>
    </w:p>
    <w:p w:rsidR="00B66114" w:rsidRPr="00B66114" w:rsidRDefault="00B66114" w:rsidP="00B66114">
      <w:pPr>
        <w:rPr>
          <w:color w:val="000000" w:themeColor="text1"/>
        </w:rPr>
      </w:pPr>
    </w:p>
    <w:p w:rsidR="00B66114" w:rsidRDefault="00B66114" w:rsidP="00096763">
      <w:pPr>
        <w:ind w:firstLine="709"/>
      </w:pPr>
    </w:p>
    <w:p w:rsidR="00096763" w:rsidRDefault="00096763" w:rsidP="00096763">
      <w:pPr>
        <w:ind w:firstLine="709"/>
      </w:pPr>
    </w:p>
    <w:sectPr w:rsidR="00096763" w:rsidSect="00552A3A">
      <w:pgSz w:w="11906" w:h="16838"/>
      <w:pgMar w:top="1418" w:right="851"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70C"/>
    <w:multiLevelType w:val="hybridMultilevel"/>
    <w:tmpl w:val="09F68838"/>
    <w:lvl w:ilvl="0" w:tplc="A6408DF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010A67"/>
    <w:multiLevelType w:val="hybridMultilevel"/>
    <w:tmpl w:val="95963980"/>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nsid w:val="05357519"/>
    <w:multiLevelType w:val="hybridMultilevel"/>
    <w:tmpl w:val="FEB89A98"/>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nsid w:val="2B1D34DF"/>
    <w:multiLevelType w:val="multilevel"/>
    <w:tmpl w:val="6518A00E"/>
    <w:lvl w:ilvl="0">
      <w:start w:val="1"/>
      <w:numFmt w:val="decimal"/>
      <w:lvlText w:val="%1."/>
      <w:lvlJc w:val="left"/>
      <w:pPr>
        <w:tabs>
          <w:tab w:val="num" w:pos="1004"/>
        </w:tabs>
        <w:ind w:left="1004" w:hanging="360"/>
      </w:pPr>
    </w:lvl>
    <w:lvl w:ilvl="1">
      <w:start w:val="6"/>
      <w:numFmt w:val="decimal"/>
      <w:isLgl/>
      <w:lvlText w:val="%1.%2."/>
      <w:lvlJc w:val="left"/>
      <w:pPr>
        <w:tabs>
          <w:tab w:val="num" w:pos="1364"/>
        </w:tabs>
        <w:ind w:left="1364" w:hanging="720"/>
      </w:pPr>
      <w:rPr>
        <w:rFonts w:hint="default"/>
      </w:rPr>
    </w:lvl>
    <w:lvl w:ilvl="2">
      <w:start w:val="1"/>
      <w:numFmt w:val="decimal"/>
      <w:isLgl/>
      <w:lvlText w:val="%1.%2.%3."/>
      <w:lvlJc w:val="left"/>
      <w:pPr>
        <w:tabs>
          <w:tab w:val="num" w:pos="1364"/>
        </w:tabs>
        <w:ind w:left="1364" w:hanging="720"/>
      </w:pPr>
      <w:rPr>
        <w:rFonts w:hint="default"/>
      </w:rPr>
    </w:lvl>
    <w:lvl w:ilvl="3">
      <w:start w:val="1"/>
      <w:numFmt w:val="decimal"/>
      <w:isLgl/>
      <w:lvlText w:val="%1.%2.%3.%4."/>
      <w:lvlJc w:val="left"/>
      <w:pPr>
        <w:tabs>
          <w:tab w:val="num" w:pos="1724"/>
        </w:tabs>
        <w:ind w:left="1724" w:hanging="1080"/>
      </w:pPr>
      <w:rPr>
        <w:rFonts w:hint="default"/>
      </w:rPr>
    </w:lvl>
    <w:lvl w:ilvl="4">
      <w:start w:val="1"/>
      <w:numFmt w:val="decimal"/>
      <w:isLgl/>
      <w:lvlText w:val="%1.%2.%3.%4.%5."/>
      <w:lvlJc w:val="left"/>
      <w:pPr>
        <w:tabs>
          <w:tab w:val="num" w:pos="1724"/>
        </w:tabs>
        <w:ind w:left="1724" w:hanging="1080"/>
      </w:pPr>
      <w:rPr>
        <w:rFonts w:hint="default"/>
      </w:rPr>
    </w:lvl>
    <w:lvl w:ilvl="5">
      <w:start w:val="1"/>
      <w:numFmt w:val="decimal"/>
      <w:isLgl/>
      <w:lvlText w:val="%1.%2.%3.%4.%5.%6."/>
      <w:lvlJc w:val="left"/>
      <w:pPr>
        <w:tabs>
          <w:tab w:val="num" w:pos="2084"/>
        </w:tabs>
        <w:ind w:left="2084" w:hanging="1440"/>
      </w:pPr>
      <w:rPr>
        <w:rFonts w:hint="default"/>
      </w:rPr>
    </w:lvl>
    <w:lvl w:ilvl="6">
      <w:start w:val="1"/>
      <w:numFmt w:val="decimal"/>
      <w:isLgl/>
      <w:lvlText w:val="%1.%2.%3.%4.%5.%6.%7."/>
      <w:lvlJc w:val="left"/>
      <w:pPr>
        <w:tabs>
          <w:tab w:val="num" w:pos="2444"/>
        </w:tabs>
        <w:ind w:left="2444" w:hanging="1800"/>
      </w:pPr>
      <w:rPr>
        <w:rFonts w:hint="default"/>
      </w:rPr>
    </w:lvl>
    <w:lvl w:ilvl="7">
      <w:start w:val="1"/>
      <w:numFmt w:val="decimal"/>
      <w:isLgl/>
      <w:lvlText w:val="%1.%2.%3.%4.%5.%6.%7.%8."/>
      <w:lvlJc w:val="left"/>
      <w:pPr>
        <w:tabs>
          <w:tab w:val="num" w:pos="2444"/>
        </w:tabs>
        <w:ind w:left="2444" w:hanging="1800"/>
      </w:pPr>
      <w:rPr>
        <w:rFonts w:hint="default"/>
      </w:rPr>
    </w:lvl>
    <w:lvl w:ilvl="8">
      <w:start w:val="1"/>
      <w:numFmt w:val="decimal"/>
      <w:isLgl/>
      <w:lvlText w:val="%1.%2.%3.%4.%5.%6.%7.%8.%9."/>
      <w:lvlJc w:val="left"/>
      <w:pPr>
        <w:tabs>
          <w:tab w:val="num" w:pos="2804"/>
        </w:tabs>
        <w:ind w:left="2804" w:hanging="2160"/>
      </w:pPr>
      <w:rPr>
        <w:rFonts w:hint="default"/>
      </w:rPr>
    </w:lvl>
  </w:abstractNum>
  <w:abstractNum w:abstractNumId="4">
    <w:nsid w:val="39693038"/>
    <w:multiLevelType w:val="hybridMultilevel"/>
    <w:tmpl w:val="702CACEA"/>
    <w:lvl w:ilvl="0" w:tplc="5578400E">
      <w:start w:val="1"/>
      <w:numFmt w:val="bullet"/>
      <w:lvlText w:val=""/>
      <w:lvlJc w:val="left"/>
      <w:pPr>
        <w:tabs>
          <w:tab w:val="num" w:pos="720"/>
        </w:tabs>
        <w:ind w:left="720" w:hanging="360"/>
      </w:pPr>
      <w:rPr>
        <w:rFonts w:ascii="Symbol" w:hAnsi="Symbol" w:hint="default"/>
      </w:rPr>
    </w:lvl>
    <w:lvl w:ilvl="1" w:tplc="5578400E">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4D377A6D"/>
    <w:multiLevelType w:val="multilevel"/>
    <w:tmpl w:val="DFEC1CB6"/>
    <w:lvl w:ilvl="0">
      <w:start w:val="1"/>
      <w:numFmt w:val="decimal"/>
      <w:lvlText w:val="%1."/>
      <w:lvlJc w:val="left"/>
      <w:pPr>
        <w:tabs>
          <w:tab w:val="num" w:pos="1004"/>
        </w:tabs>
        <w:ind w:left="1004" w:hanging="360"/>
      </w:pPr>
    </w:lvl>
    <w:lvl w:ilvl="1">
      <w:start w:val="1"/>
      <w:numFmt w:val="decimal"/>
      <w:isLgl/>
      <w:lvlText w:val="%1.%2."/>
      <w:lvlJc w:val="left"/>
      <w:pPr>
        <w:tabs>
          <w:tab w:val="num" w:pos="1364"/>
        </w:tabs>
        <w:ind w:left="1364" w:hanging="720"/>
      </w:pPr>
      <w:rPr>
        <w:rFonts w:hint="default"/>
      </w:rPr>
    </w:lvl>
    <w:lvl w:ilvl="2">
      <w:start w:val="1"/>
      <w:numFmt w:val="decimal"/>
      <w:isLgl/>
      <w:lvlText w:val="%1.%2.%3."/>
      <w:lvlJc w:val="left"/>
      <w:pPr>
        <w:tabs>
          <w:tab w:val="num" w:pos="1364"/>
        </w:tabs>
        <w:ind w:left="1364" w:hanging="720"/>
      </w:pPr>
      <w:rPr>
        <w:rFonts w:hint="default"/>
      </w:rPr>
    </w:lvl>
    <w:lvl w:ilvl="3">
      <w:start w:val="1"/>
      <w:numFmt w:val="decimal"/>
      <w:isLgl/>
      <w:lvlText w:val="%1.%2.%3.%4."/>
      <w:lvlJc w:val="left"/>
      <w:pPr>
        <w:tabs>
          <w:tab w:val="num" w:pos="1724"/>
        </w:tabs>
        <w:ind w:left="1724" w:hanging="1080"/>
      </w:pPr>
      <w:rPr>
        <w:rFonts w:hint="default"/>
      </w:rPr>
    </w:lvl>
    <w:lvl w:ilvl="4">
      <w:start w:val="1"/>
      <w:numFmt w:val="decimal"/>
      <w:isLgl/>
      <w:lvlText w:val="%1.%2.%3.%4.%5."/>
      <w:lvlJc w:val="left"/>
      <w:pPr>
        <w:tabs>
          <w:tab w:val="num" w:pos="1724"/>
        </w:tabs>
        <w:ind w:left="1724" w:hanging="1080"/>
      </w:pPr>
      <w:rPr>
        <w:rFonts w:hint="default"/>
      </w:rPr>
    </w:lvl>
    <w:lvl w:ilvl="5">
      <w:start w:val="1"/>
      <w:numFmt w:val="decimal"/>
      <w:isLgl/>
      <w:lvlText w:val="%1.%2.%3.%4.%5.%6."/>
      <w:lvlJc w:val="left"/>
      <w:pPr>
        <w:tabs>
          <w:tab w:val="num" w:pos="2084"/>
        </w:tabs>
        <w:ind w:left="2084" w:hanging="1440"/>
      </w:pPr>
      <w:rPr>
        <w:rFonts w:hint="default"/>
      </w:rPr>
    </w:lvl>
    <w:lvl w:ilvl="6">
      <w:start w:val="1"/>
      <w:numFmt w:val="decimal"/>
      <w:isLgl/>
      <w:lvlText w:val="%1.%2.%3.%4.%5.%6.%7."/>
      <w:lvlJc w:val="left"/>
      <w:pPr>
        <w:tabs>
          <w:tab w:val="num" w:pos="2444"/>
        </w:tabs>
        <w:ind w:left="2444" w:hanging="1800"/>
      </w:pPr>
      <w:rPr>
        <w:rFonts w:hint="default"/>
      </w:rPr>
    </w:lvl>
    <w:lvl w:ilvl="7">
      <w:start w:val="1"/>
      <w:numFmt w:val="decimal"/>
      <w:isLgl/>
      <w:lvlText w:val="%1.%2.%3.%4.%5.%6.%7.%8."/>
      <w:lvlJc w:val="left"/>
      <w:pPr>
        <w:tabs>
          <w:tab w:val="num" w:pos="2444"/>
        </w:tabs>
        <w:ind w:left="2444" w:hanging="1800"/>
      </w:pPr>
      <w:rPr>
        <w:rFonts w:hint="default"/>
      </w:rPr>
    </w:lvl>
    <w:lvl w:ilvl="8">
      <w:start w:val="1"/>
      <w:numFmt w:val="decimal"/>
      <w:isLgl/>
      <w:lvlText w:val="%1.%2.%3.%4.%5.%6.%7.%8.%9."/>
      <w:lvlJc w:val="left"/>
      <w:pPr>
        <w:tabs>
          <w:tab w:val="num" w:pos="2804"/>
        </w:tabs>
        <w:ind w:left="2804" w:hanging="2160"/>
      </w:pPr>
      <w:rPr>
        <w:rFonts w:hint="default"/>
      </w:rPr>
    </w:lvl>
  </w:abstractNum>
  <w:abstractNum w:abstractNumId="6">
    <w:nsid w:val="7BF369AC"/>
    <w:multiLevelType w:val="hybridMultilevel"/>
    <w:tmpl w:val="EEB67E4A"/>
    <w:lvl w:ilvl="0" w:tplc="D5467B6E">
      <w:start w:val="1"/>
      <w:numFmt w:val="decimal"/>
      <w:lvlText w:val="%1."/>
      <w:lvlJc w:val="left"/>
      <w:pPr>
        <w:tabs>
          <w:tab w:val="num" w:pos="360"/>
        </w:tabs>
        <w:ind w:left="360" w:hanging="360"/>
      </w:pPr>
      <w:rPr>
        <w:rFonts w:hint="default"/>
      </w:rPr>
    </w:lvl>
    <w:lvl w:ilvl="1" w:tplc="5578400E">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F635565"/>
    <w:multiLevelType w:val="multilevel"/>
    <w:tmpl w:val="79845ECA"/>
    <w:lvl w:ilvl="0">
      <w:start w:val="2"/>
      <w:numFmt w:val="decimal"/>
      <w:lvlText w:val="%1."/>
      <w:lvlJc w:val="left"/>
      <w:pPr>
        <w:tabs>
          <w:tab w:val="num" w:pos="645"/>
        </w:tabs>
        <w:ind w:left="645" w:hanging="645"/>
      </w:pPr>
      <w:rPr>
        <w:rFonts w:hint="default"/>
      </w:rPr>
    </w:lvl>
    <w:lvl w:ilvl="1">
      <w:start w:val="2"/>
      <w:numFmt w:val="decimal"/>
      <w:lvlText w:val="%1.%2."/>
      <w:lvlJc w:val="left"/>
      <w:pPr>
        <w:tabs>
          <w:tab w:val="num" w:pos="1170"/>
        </w:tabs>
        <w:ind w:left="1170" w:hanging="720"/>
      </w:pPr>
      <w:rPr>
        <w:rFonts w:hint="default"/>
      </w:rPr>
    </w:lvl>
    <w:lvl w:ilvl="2">
      <w:start w:val="4"/>
      <w:numFmt w:val="decimal"/>
      <w:lvlText w:val="%1.%2.%3."/>
      <w:lvlJc w:val="left"/>
      <w:pPr>
        <w:tabs>
          <w:tab w:val="num" w:pos="1620"/>
        </w:tabs>
        <w:ind w:left="1620" w:hanging="720"/>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500"/>
        </w:tabs>
        <w:ind w:left="4500" w:hanging="180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760"/>
        </w:tabs>
        <w:ind w:left="5760" w:hanging="2160"/>
      </w:pPr>
      <w:rPr>
        <w:rFonts w:hint="default"/>
      </w:rPr>
    </w:lvl>
  </w:abstractNum>
  <w:num w:numId="1">
    <w:abstractNumId w:val="7"/>
  </w:num>
  <w:num w:numId="2">
    <w:abstractNumId w:val="3"/>
  </w:num>
  <w:num w:numId="3">
    <w:abstractNumId w:val="5"/>
  </w:num>
  <w:num w:numId="4">
    <w:abstractNumId w:val="1"/>
  </w:num>
  <w:num w:numId="5">
    <w:abstractNumId w:val="2"/>
  </w:num>
  <w:num w:numId="6">
    <w:abstractNumId w:val="6"/>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52A3A"/>
    <w:rsid w:val="00076A48"/>
    <w:rsid w:val="00085A60"/>
    <w:rsid w:val="00091965"/>
    <w:rsid w:val="00094ACD"/>
    <w:rsid w:val="00096763"/>
    <w:rsid w:val="000A7DF1"/>
    <w:rsid w:val="000B4E92"/>
    <w:rsid w:val="000C1DDA"/>
    <w:rsid w:val="00123FD7"/>
    <w:rsid w:val="001408DB"/>
    <w:rsid w:val="00265B3D"/>
    <w:rsid w:val="002D3A68"/>
    <w:rsid w:val="00344934"/>
    <w:rsid w:val="003A4B0F"/>
    <w:rsid w:val="00417FB5"/>
    <w:rsid w:val="00422FFA"/>
    <w:rsid w:val="00495569"/>
    <w:rsid w:val="004A5648"/>
    <w:rsid w:val="004C5B51"/>
    <w:rsid w:val="004E5185"/>
    <w:rsid w:val="0053705A"/>
    <w:rsid w:val="00552A3A"/>
    <w:rsid w:val="005A47E0"/>
    <w:rsid w:val="005E6630"/>
    <w:rsid w:val="00626D35"/>
    <w:rsid w:val="00642F8E"/>
    <w:rsid w:val="006F32E2"/>
    <w:rsid w:val="007659D1"/>
    <w:rsid w:val="00800F95"/>
    <w:rsid w:val="0081748E"/>
    <w:rsid w:val="008E56FC"/>
    <w:rsid w:val="00980DEE"/>
    <w:rsid w:val="009A19FA"/>
    <w:rsid w:val="00A170BE"/>
    <w:rsid w:val="00B14ACD"/>
    <w:rsid w:val="00B20437"/>
    <w:rsid w:val="00B55DF0"/>
    <w:rsid w:val="00B66114"/>
    <w:rsid w:val="00C2478F"/>
    <w:rsid w:val="00C266F8"/>
    <w:rsid w:val="00CB5EBF"/>
    <w:rsid w:val="00D611DC"/>
    <w:rsid w:val="00D70A7B"/>
    <w:rsid w:val="00D722A9"/>
    <w:rsid w:val="00DA584B"/>
    <w:rsid w:val="00E02BB9"/>
    <w:rsid w:val="00E81589"/>
    <w:rsid w:val="00EC1380"/>
    <w:rsid w:val="00EC6277"/>
    <w:rsid w:val="00F0074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763"/>
    <w:pPr>
      <w:spacing w:after="0" w:line="360" w:lineRule="auto"/>
      <w:ind w:firstLine="900"/>
      <w:jc w:val="both"/>
    </w:pPr>
    <w:rPr>
      <w:rFonts w:ascii="Times New Roman" w:eastAsia="Times New Roman" w:hAnsi="Times New Roman" w:cs="Times New Roman"/>
      <w:noProof/>
      <w:color w:val="000000"/>
      <w:sz w:val="28"/>
      <w:szCs w:val="28"/>
      <w:lang w:eastAsia="uk-UA"/>
    </w:rPr>
  </w:style>
  <w:style w:type="paragraph" w:styleId="1">
    <w:name w:val="heading 1"/>
    <w:basedOn w:val="a"/>
    <w:link w:val="10"/>
    <w:qFormat/>
    <w:rsid w:val="00096763"/>
    <w:pPr>
      <w:spacing w:before="100" w:beforeAutospacing="1" w:after="75"/>
      <w:outlineLvl w:val="0"/>
    </w:pPr>
    <w:rPr>
      <w:rFonts w:ascii="Arial" w:hAnsi="Arial" w:cs="Arial"/>
      <w:b/>
      <w:bCs/>
      <w:kern w:val="36"/>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763"/>
    <w:rPr>
      <w:rFonts w:ascii="Arial" w:eastAsia="Times New Roman" w:hAnsi="Arial" w:cs="Arial"/>
      <w:b/>
      <w:bCs/>
      <w:noProof/>
      <w:color w:val="000000"/>
      <w:kern w:val="36"/>
      <w:sz w:val="24"/>
      <w:szCs w:val="24"/>
      <w:lang w:val="ru-RU" w:eastAsia="uk-UA"/>
    </w:rPr>
  </w:style>
  <w:style w:type="paragraph" w:styleId="a3">
    <w:name w:val="List Paragraph"/>
    <w:basedOn w:val="a"/>
    <w:uiPriority w:val="34"/>
    <w:qFormat/>
    <w:rsid w:val="00076A4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hPercent val="2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5.1403794037940535E-2"/>
          <c:y val="9.1070048404753537E-2"/>
          <c:w val="0.92447129909365555"/>
          <c:h val="0.7572815533980618"/>
        </c:manualLayout>
      </c:layout>
      <c:bar3DChart>
        <c:barDir val="col"/>
        <c:grouping val="clustered"/>
        <c:ser>
          <c:idx val="0"/>
          <c:order val="0"/>
          <c:tx>
            <c:strRef>
              <c:f>Sheet1!$A$2</c:f>
              <c:strCache>
                <c:ptCount val="1"/>
                <c:pt idx="0">
                  <c:v>разом</c:v>
                </c:pt>
              </c:strCache>
            </c:strRef>
          </c:tx>
          <c:spPr>
            <a:solidFill>
              <a:srgbClr val="FFFFFF"/>
            </a:solidFill>
            <a:ln w="12700">
              <a:solidFill>
                <a:srgbClr val="000000"/>
              </a:solidFill>
              <a:prstDash val="solid"/>
            </a:ln>
          </c:spPr>
          <c:dLbls>
            <c:spPr>
              <a:noFill/>
              <a:ln w="25400">
                <a:noFill/>
              </a:ln>
            </c:spPr>
            <c:txPr>
              <a:bodyPr/>
              <a:lstStyle/>
              <a:p>
                <a:pPr>
                  <a:defRPr sz="900" b="1"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Sheet1!$B$2:$G$2</c:f>
              <c:numCache>
                <c:formatCode>General</c:formatCode>
                <c:ptCount val="6"/>
                <c:pt idx="0">
                  <c:v>0</c:v>
                </c:pt>
                <c:pt idx="1">
                  <c:v>0</c:v>
                </c:pt>
                <c:pt idx="2">
                  <c:v>0</c:v>
                </c:pt>
                <c:pt idx="3">
                  <c:v>2</c:v>
                </c:pt>
                <c:pt idx="4">
                  <c:v>2</c:v>
                </c:pt>
                <c:pt idx="5">
                  <c:v>11</c:v>
                </c:pt>
              </c:numCache>
            </c:numRef>
          </c:val>
          <c:extLst xmlns:c16r2="http://schemas.microsoft.com/office/drawing/2015/06/chart">
            <c:ext xmlns:c16="http://schemas.microsoft.com/office/drawing/2014/chart" uri="{C3380CC4-5D6E-409C-BE32-E72D297353CC}">
              <c16:uniqueId val="{00000000-3EBB-492A-A6B4-935ED911D5C8}"/>
            </c:ext>
          </c:extLst>
        </c:ser>
        <c:ser>
          <c:idx val="1"/>
          <c:order val="1"/>
          <c:tx>
            <c:strRef>
              <c:f>Sheet1!$A$3</c:f>
              <c:strCache>
                <c:ptCount val="1"/>
                <c:pt idx="0">
                  <c:v>дівчат</c:v>
                </c:pt>
              </c:strCache>
            </c:strRef>
          </c:tx>
          <c:spPr>
            <a:solidFill>
              <a:srgbClr val="FF99CC"/>
            </a:solidFill>
            <a:ln w="12700">
              <a:solidFill>
                <a:srgbClr val="000000"/>
              </a:solidFill>
              <a:prstDash val="solid"/>
            </a:ln>
          </c:spPr>
          <c:dLbls>
            <c:spPr>
              <a:noFill/>
              <a:ln w="25400">
                <a:noFill/>
              </a:ln>
            </c:spPr>
            <c:txPr>
              <a:bodyPr/>
              <a:lstStyle/>
              <a:p>
                <a:pPr>
                  <a:defRPr sz="900" b="1"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Sheet1!$B$3:$G$3</c:f>
              <c:numCache>
                <c:formatCode>General</c:formatCode>
                <c:ptCount val="6"/>
                <c:pt idx="0">
                  <c:v>0</c:v>
                </c:pt>
                <c:pt idx="1">
                  <c:v>0</c:v>
                </c:pt>
                <c:pt idx="2">
                  <c:v>0</c:v>
                </c:pt>
                <c:pt idx="3">
                  <c:v>5</c:v>
                </c:pt>
                <c:pt idx="4">
                  <c:v>0</c:v>
                </c:pt>
                <c:pt idx="5">
                  <c:v>15</c:v>
                </c:pt>
              </c:numCache>
            </c:numRef>
          </c:val>
          <c:extLst xmlns:c16r2="http://schemas.microsoft.com/office/drawing/2015/06/chart">
            <c:ext xmlns:c16="http://schemas.microsoft.com/office/drawing/2014/chart" uri="{C3380CC4-5D6E-409C-BE32-E72D297353CC}">
              <c16:uniqueId val="{00000001-3EBB-492A-A6B4-935ED911D5C8}"/>
            </c:ext>
          </c:extLst>
        </c:ser>
        <c:ser>
          <c:idx val="2"/>
          <c:order val="2"/>
          <c:tx>
            <c:strRef>
              <c:f>Sheet1!$A$4</c:f>
              <c:strCache>
                <c:ptCount val="1"/>
                <c:pt idx="0">
                  <c:v>хлопців</c:v>
                </c:pt>
              </c:strCache>
            </c:strRef>
          </c:tx>
          <c:spPr>
            <a:solidFill>
              <a:srgbClr val="9999FF"/>
            </a:solidFill>
            <a:ln w="12700">
              <a:solidFill>
                <a:srgbClr val="000000"/>
              </a:solidFill>
              <a:prstDash val="solid"/>
            </a:ln>
          </c:spPr>
          <c:dLbls>
            <c:spPr>
              <a:noFill/>
              <a:ln w="25400">
                <a:noFill/>
              </a:ln>
            </c:spPr>
            <c:txPr>
              <a:bodyPr/>
              <a:lstStyle/>
              <a:p>
                <a:pPr>
                  <a:defRPr sz="900" b="1"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Sheet1!$B$4:$G$4</c:f>
              <c:numCache>
                <c:formatCode>General</c:formatCode>
                <c:ptCount val="6"/>
                <c:pt idx="0">
                  <c:v>0</c:v>
                </c:pt>
                <c:pt idx="1">
                  <c:v>0</c:v>
                </c:pt>
                <c:pt idx="2">
                  <c:v>0</c:v>
                </c:pt>
                <c:pt idx="3">
                  <c:v>0</c:v>
                </c:pt>
                <c:pt idx="4">
                  <c:v>5</c:v>
                </c:pt>
                <c:pt idx="5">
                  <c:v>6</c:v>
                </c:pt>
              </c:numCache>
            </c:numRef>
          </c:val>
          <c:extLst xmlns:c16r2="http://schemas.microsoft.com/office/drawing/2015/06/chart">
            <c:ext xmlns:c16="http://schemas.microsoft.com/office/drawing/2014/chart" uri="{C3380CC4-5D6E-409C-BE32-E72D297353CC}">
              <c16:uniqueId val="{00000002-3EBB-492A-A6B4-935ED911D5C8}"/>
            </c:ext>
          </c:extLst>
        </c:ser>
        <c:gapDepth val="0"/>
        <c:shape val="box"/>
        <c:axId val="134227072"/>
        <c:axId val="134228992"/>
        <c:axId val="0"/>
      </c:bar3DChart>
      <c:catAx>
        <c:axId val="134227072"/>
        <c:scaling>
          <c:orientation val="minMax"/>
        </c:scaling>
        <c:axPos val="b"/>
        <c:numFmt formatCode="General" sourceLinked="1"/>
        <c:tickLblPos val="low"/>
        <c:spPr>
          <a:ln w="3175">
            <a:solidFill>
              <a:srgbClr val="000000"/>
            </a:solidFill>
            <a:prstDash val="solid"/>
          </a:ln>
        </c:spPr>
        <c:txPr>
          <a:bodyPr rot="0" vert="horz"/>
          <a:lstStyle/>
          <a:p>
            <a:pPr>
              <a:defRPr sz="1200" b="0" i="0" u="none" strike="noStrike" baseline="0">
                <a:solidFill>
                  <a:srgbClr val="000000"/>
                </a:solidFill>
                <a:latin typeface="Times New Roman" pitchFamily="18" charset="0"/>
                <a:ea typeface="Arial Cyr"/>
                <a:cs typeface="Arial Cyr"/>
              </a:defRPr>
            </a:pPr>
            <a:endParaRPr lang="uk-UA"/>
          </a:p>
        </c:txPr>
        <c:crossAx val="134228992"/>
        <c:crosses val="autoZero"/>
        <c:auto val="1"/>
        <c:lblAlgn val="ctr"/>
        <c:lblOffset val="100"/>
        <c:tickLblSkip val="1"/>
        <c:tickMarkSkip val="1"/>
      </c:catAx>
      <c:valAx>
        <c:axId val="134228992"/>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200" b="0" i="0" u="none" strike="noStrike" baseline="0">
                <a:solidFill>
                  <a:srgbClr val="000000"/>
                </a:solidFill>
                <a:latin typeface="Times New Roman" pitchFamily="18" charset="0"/>
                <a:ea typeface="Arial Cyr"/>
                <a:cs typeface="Arial Cyr"/>
              </a:defRPr>
            </a:pPr>
            <a:endParaRPr lang="uk-UA"/>
          </a:p>
        </c:txPr>
        <c:crossAx val="134227072"/>
        <c:crosses val="autoZero"/>
        <c:crossBetween val="between"/>
      </c:valAx>
      <c:spPr>
        <a:noFill/>
        <a:ln w="25400">
          <a:noFill/>
        </a:ln>
      </c:spPr>
    </c:plotArea>
    <c:legend>
      <c:legendPos val="r"/>
      <c:layout>
        <c:manualLayout>
          <c:xMode val="edge"/>
          <c:yMode val="edge"/>
          <c:x val="0.88972809667674135"/>
          <c:y val="6.3106796116504923E-2"/>
          <c:w val="0.10422960725075529"/>
          <c:h val="0.31067961165048708"/>
        </c:manualLayout>
      </c:layout>
      <c:spPr>
        <a:noFill/>
        <a:ln w="3175">
          <a:solidFill>
            <a:srgbClr val="000000"/>
          </a:solidFill>
          <a:prstDash val="solid"/>
        </a:ln>
      </c:spPr>
      <c:txPr>
        <a:bodyPr/>
        <a:lstStyle/>
        <a:p>
          <a:pPr>
            <a:defRPr sz="900" b="0" i="0" u="none" strike="noStrike" baseline="0">
              <a:solidFill>
                <a:srgbClr val="000000"/>
              </a:solidFill>
              <a:latin typeface="Times New Roman" pitchFamily="18" charset="0"/>
              <a:ea typeface="Arial Cyr"/>
              <a:cs typeface="Arial Cyr"/>
            </a:defRPr>
          </a:pPr>
          <a:endParaRPr lang="uk-UA"/>
        </a:p>
      </c:txPr>
    </c:legend>
    <c:plotVisOnly val="1"/>
    <c:dispBlanksAs val="gap"/>
  </c:chart>
  <c:spPr>
    <a:noFill/>
    <a:ln>
      <a:noFill/>
    </a:ln>
  </c:spPr>
  <c:txPr>
    <a:bodyPr/>
    <a:lstStyle/>
    <a:p>
      <a:pPr>
        <a:defRPr sz="900" b="1" i="0" u="none" strike="noStrike" baseline="0">
          <a:solidFill>
            <a:srgbClr val="000000"/>
          </a:solidFill>
          <a:latin typeface="Arial Cyr"/>
          <a:ea typeface="Arial Cyr"/>
          <a:cs typeface="Arial Cyr"/>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3"/>
      <c:hPercent val="22"/>
      <c:rotY val="2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4.3887147335423198E-2"/>
          <c:y val="0.40869565217391279"/>
          <c:w val="0.72741260423015841"/>
          <c:h val="0.43478260869565438"/>
        </c:manualLayout>
      </c:layout>
      <c:bar3DChart>
        <c:barDir val="col"/>
        <c:grouping val="clustered"/>
        <c:ser>
          <c:idx val="0"/>
          <c:order val="0"/>
          <c:tx>
            <c:strRef>
              <c:f>Sheet1!$A$2</c:f>
              <c:strCache>
                <c:ptCount val="1"/>
                <c:pt idx="0">
                  <c:v>разом</c:v>
                </c:pt>
              </c:strCache>
            </c:strRef>
          </c:tx>
          <c:spPr>
            <a:solidFill>
              <a:srgbClr val="FFFFFF"/>
            </a:solidFill>
            <a:ln w="12703">
              <a:solidFill>
                <a:srgbClr val="000000"/>
              </a:solidFill>
              <a:prstDash val="solid"/>
            </a:ln>
          </c:spPr>
          <c:dLbls>
            <c:spPr>
              <a:noFill/>
              <a:ln w="25405">
                <a:noFill/>
              </a:ln>
            </c:spPr>
            <c:txPr>
              <a:bodyPr/>
              <a:lstStyle/>
              <a:p>
                <a:pPr>
                  <a:defRPr sz="1200" b="0"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Sheet1!$B$2:$G$2</c:f>
              <c:numCache>
                <c:formatCode>General</c:formatCode>
                <c:ptCount val="6"/>
                <c:pt idx="0">
                  <c:v>0</c:v>
                </c:pt>
                <c:pt idx="1">
                  <c:v>0</c:v>
                </c:pt>
                <c:pt idx="2">
                  <c:v>0</c:v>
                </c:pt>
                <c:pt idx="3">
                  <c:v>5</c:v>
                </c:pt>
                <c:pt idx="4">
                  <c:v>5</c:v>
                </c:pt>
                <c:pt idx="5">
                  <c:v>16</c:v>
                </c:pt>
              </c:numCache>
            </c:numRef>
          </c:val>
          <c:extLst xmlns:c16r2="http://schemas.microsoft.com/office/drawing/2015/06/chart">
            <c:ext xmlns:c16="http://schemas.microsoft.com/office/drawing/2014/chart" uri="{C3380CC4-5D6E-409C-BE32-E72D297353CC}">
              <c16:uniqueId val="{00000000-330E-46EB-92F4-9B1722EAA6BE}"/>
            </c:ext>
          </c:extLst>
        </c:ser>
        <c:ser>
          <c:idx val="1"/>
          <c:order val="1"/>
          <c:tx>
            <c:strRef>
              <c:f>Sheet1!$A$3</c:f>
              <c:strCache>
                <c:ptCount val="1"/>
                <c:pt idx="0">
                  <c:v>дівчат</c:v>
                </c:pt>
              </c:strCache>
            </c:strRef>
          </c:tx>
          <c:spPr>
            <a:solidFill>
              <a:srgbClr val="FF99CC"/>
            </a:solidFill>
            <a:ln w="12703">
              <a:solidFill>
                <a:srgbClr val="000000"/>
              </a:solidFill>
              <a:prstDash val="solid"/>
            </a:ln>
          </c:spPr>
          <c:dLbls>
            <c:spPr>
              <a:noFill/>
              <a:ln w="25405">
                <a:noFill/>
              </a:ln>
            </c:spPr>
            <c:txPr>
              <a:bodyPr/>
              <a:lstStyle/>
              <a:p>
                <a:pPr>
                  <a:defRPr sz="1200" b="0"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Sheet1!$B$3:$G$3</c:f>
              <c:numCache>
                <c:formatCode>General</c:formatCode>
                <c:ptCount val="6"/>
                <c:pt idx="0">
                  <c:v>0</c:v>
                </c:pt>
                <c:pt idx="1">
                  <c:v>0</c:v>
                </c:pt>
                <c:pt idx="2">
                  <c:v>0</c:v>
                </c:pt>
                <c:pt idx="3">
                  <c:v>5</c:v>
                </c:pt>
                <c:pt idx="4">
                  <c:v>5</c:v>
                </c:pt>
                <c:pt idx="5">
                  <c:v>10</c:v>
                </c:pt>
              </c:numCache>
            </c:numRef>
          </c:val>
          <c:extLst xmlns:c16r2="http://schemas.microsoft.com/office/drawing/2015/06/chart">
            <c:ext xmlns:c16="http://schemas.microsoft.com/office/drawing/2014/chart" uri="{C3380CC4-5D6E-409C-BE32-E72D297353CC}">
              <c16:uniqueId val="{00000001-330E-46EB-92F4-9B1722EAA6BE}"/>
            </c:ext>
          </c:extLst>
        </c:ser>
        <c:ser>
          <c:idx val="2"/>
          <c:order val="2"/>
          <c:tx>
            <c:strRef>
              <c:f>Sheet1!$A$4</c:f>
              <c:strCache>
                <c:ptCount val="1"/>
                <c:pt idx="0">
                  <c:v>хлопців</c:v>
                </c:pt>
              </c:strCache>
            </c:strRef>
          </c:tx>
          <c:spPr>
            <a:solidFill>
              <a:srgbClr val="9999FF"/>
            </a:solidFill>
            <a:ln w="12703">
              <a:solidFill>
                <a:srgbClr val="000000"/>
              </a:solidFill>
              <a:prstDash val="solid"/>
            </a:ln>
          </c:spPr>
          <c:dLbls>
            <c:spPr>
              <a:noFill/>
              <a:ln w="25405">
                <a:noFill/>
              </a:ln>
            </c:spPr>
            <c:txPr>
              <a:bodyPr/>
              <a:lstStyle/>
              <a:p>
                <a:pPr>
                  <a:defRPr sz="1200" b="0"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Sheet1!$B$4:$G$4</c:f>
              <c:numCache>
                <c:formatCode>General</c:formatCode>
                <c:ptCount val="6"/>
                <c:pt idx="0">
                  <c:v>0</c:v>
                </c:pt>
                <c:pt idx="1">
                  <c:v>0</c:v>
                </c:pt>
                <c:pt idx="2">
                  <c:v>0</c:v>
                </c:pt>
                <c:pt idx="3">
                  <c:v>5</c:v>
                </c:pt>
                <c:pt idx="4">
                  <c:v>5</c:v>
                </c:pt>
                <c:pt idx="5">
                  <c:v>22</c:v>
                </c:pt>
              </c:numCache>
            </c:numRef>
          </c:val>
          <c:extLst xmlns:c16r2="http://schemas.microsoft.com/office/drawing/2015/06/chart">
            <c:ext xmlns:c16="http://schemas.microsoft.com/office/drawing/2014/chart" uri="{C3380CC4-5D6E-409C-BE32-E72D297353CC}">
              <c16:uniqueId val="{00000002-330E-46EB-92F4-9B1722EAA6BE}"/>
            </c:ext>
          </c:extLst>
        </c:ser>
        <c:gapDepth val="0"/>
        <c:shape val="box"/>
        <c:axId val="135742592"/>
        <c:axId val="135744128"/>
        <c:axId val="0"/>
      </c:bar3DChart>
      <c:catAx>
        <c:axId val="135742592"/>
        <c:scaling>
          <c:orientation val="minMax"/>
        </c:scaling>
        <c:axPos val="b"/>
        <c:numFmt formatCode="General" sourceLinked="1"/>
        <c:tickLblPos val="low"/>
        <c:spPr>
          <a:ln w="3176">
            <a:solidFill>
              <a:srgbClr val="000000"/>
            </a:solidFill>
            <a:prstDash val="solid"/>
          </a:ln>
        </c:spPr>
        <c:txPr>
          <a:bodyPr rot="0" vert="horz"/>
          <a:lstStyle/>
          <a:p>
            <a:pPr>
              <a:defRPr sz="1400" b="0" i="0" u="none" strike="noStrike" baseline="0">
                <a:solidFill>
                  <a:srgbClr val="000000"/>
                </a:solidFill>
                <a:latin typeface="Times New Roman" pitchFamily="18" charset="0"/>
                <a:ea typeface="Arial Cyr"/>
                <a:cs typeface="Arial Cyr"/>
              </a:defRPr>
            </a:pPr>
            <a:endParaRPr lang="uk-UA"/>
          </a:p>
        </c:txPr>
        <c:crossAx val="135744128"/>
        <c:crosses val="autoZero"/>
        <c:auto val="1"/>
        <c:lblAlgn val="ctr"/>
        <c:lblOffset val="100"/>
        <c:tickLblSkip val="1"/>
        <c:tickMarkSkip val="1"/>
      </c:catAx>
      <c:valAx>
        <c:axId val="135744128"/>
        <c:scaling>
          <c:orientation val="minMax"/>
        </c:scaling>
        <c:axPos val="l"/>
        <c:majorGridlines>
          <c:spPr>
            <a:ln w="3176">
              <a:solidFill>
                <a:srgbClr val="000000"/>
              </a:solidFill>
              <a:prstDash val="solid"/>
            </a:ln>
          </c:spPr>
        </c:majorGridlines>
        <c:numFmt formatCode="General" sourceLinked="1"/>
        <c:tickLblPos val="nextTo"/>
        <c:spPr>
          <a:ln w="3176">
            <a:solidFill>
              <a:srgbClr val="000000"/>
            </a:solidFill>
            <a:prstDash val="solid"/>
          </a:ln>
        </c:spPr>
        <c:txPr>
          <a:bodyPr rot="0" vert="horz"/>
          <a:lstStyle/>
          <a:p>
            <a:pPr>
              <a:defRPr sz="1400" b="0" i="0" u="none" strike="noStrike" baseline="0">
                <a:solidFill>
                  <a:srgbClr val="000000"/>
                </a:solidFill>
                <a:latin typeface="Times New Roman" pitchFamily="18" charset="0"/>
                <a:ea typeface="Arial Cyr"/>
                <a:cs typeface="Arial Cyr"/>
              </a:defRPr>
            </a:pPr>
            <a:endParaRPr lang="uk-UA"/>
          </a:p>
        </c:txPr>
        <c:crossAx val="135742592"/>
        <c:crosses val="autoZero"/>
        <c:crossBetween val="between"/>
      </c:valAx>
      <c:spPr>
        <a:noFill/>
        <a:ln w="25405">
          <a:noFill/>
        </a:ln>
      </c:spPr>
    </c:plotArea>
    <c:legend>
      <c:legendPos val="t"/>
      <c:layout>
        <c:manualLayout>
          <c:xMode val="edge"/>
          <c:yMode val="edge"/>
          <c:x val="0.80078615765446381"/>
          <c:y val="0.38188407699037785"/>
          <c:w val="0.15287366330393537"/>
          <c:h val="0.4393718285214348"/>
        </c:manualLayout>
      </c:layout>
      <c:spPr>
        <a:noFill/>
        <a:ln w="3176">
          <a:solidFill>
            <a:srgbClr val="000000"/>
          </a:solidFill>
          <a:prstDash val="solid"/>
        </a:ln>
      </c:spPr>
      <c:txPr>
        <a:bodyPr/>
        <a:lstStyle/>
        <a:p>
          <a:pPr>
            <a:defRPr sz="1200" b="0" i="0" u="none" strike="noStrike" baseline="0">
              <a:solidFill>
                <a:srgbClr val="000000"/>
              </a:solidFill>
              <a:latin typeface="Times New Roman" pitchFamily="18" charset="0"/>
              <a:ea typeface="Arial Cyr"/>
              <a:cs typeface="Arial Cyr"/>
            </a:defRPr>
          </a:pPr>
          <a:endParaRPr lang="uk-UA"/>
        </a:p>
      </c:txPr>
    </c:legend>
    <c:plotVisOnly val="1"/>
    <c:dispBlanksAs val="gap"/>
  </c:chart>
  <c:spPr>
    <a:noFill/>
    <a:ln>
      <a:noFill/>
    </a:ln>
  </c:spPr>
  <c:txPr>
    <a:bodyPr/>
    <a:lstStyle/>
    <a:p>
      <a:pPr>
        <a:defRPr sz="1000" b="1" i="0" u="none" strike="noStrike" baseline="0">
          <a:solidFill>
            <a:srgbClr val="000000"/>
          </a:solidFill>
          <a:latin typeface="Arial Cyr"/>
          <a:ea typeface="Arial Cyr"/>
          <a:cs typeface="Arial Cyr"/>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90"/>
      <c:hPercent val="28"/>
      <c:rotY val="335"/>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1.4106583072100319E-2"/>
          <c:y val="0.31818181818181906"/>
          <c:w val="0.80721003134796077"/>
          <c:h val="0.52066115702479365"/>
        </c:manualLayout>
      </c:layout>
      <c:bar3DChart>
        <c:barDir val="col"/>
        <c:grouping val="clustered"/>
        <c:ser>
          <c:idx val="0"/>
          <c:order val="0"/>
          <c:tx>
            <c:strRef>
              <c:f>Sheet1!$A$2</c:f>
              <c:strCache>
                <c:ptCount val="1"/>
                <c:pt idx="0">
                  <c:v>разом</c:v>
                </c:pt>
              </c:strCache>
            </c:strRef>
          </c:tx>
          <c:spPr>
            <a:solidFill>
              <a:srgbClr val="FFFFFF"/>
            </a:solidFill>
            <a:ln w="12699">
              <a:solidFill>
                <a:srgbClr val="000000"/>
              </a:solidFill>
              <a:prstDash val="solid"/>
            </a:ln>
          </c:spPr>
          <c:dLbls>
            <c:spPr>
              <a:noFill/>
              <a:ln w="25398">
                <a:noFill/>
              </a:ln>
            </c:spPr>
            <c:txPr>
              <a:bodyPr/>
              <a:lstStyle/>
              <a:p>
                <a:pPr>
                  <a:defRPr sz="1200" b="0"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Sheet1!$B$2:$G$2</c:f>
              <c:numCache>
                <c:formatCode>General</c:formatCode>
                <c:ptCount val="6"/>
                <c:pt idx="0">
                  <c:v>42</c:v>
                </c:pt>
                <c:pt idx="1">
                  <c:v>47</c:v>
                </c:pt>
                <c:pt idx="2">
                  <c:v>49</c:v>
                </c:pt>
                <c:pt idx="3">
                  <c:v>55</c:v>
                </c:pt>
                <c:pt idx="4">
                  <c:v>45</c:v>
                </c:pt>
                <c:pt idx="5">
                  <c:v>61</c:v>
                </c:pt>
              </c:numCache>
            </c:numRef>
          </c:val>
          <c:extLst xmlns:c16r2="http://schemas.microsoft.com/office/drawing/2015/06/chart">
            <c:ext xmlns:c16="http://schemas.microsoft.com/office/drawing/2014/chart" uri="{C3380CC4-5D6E-409C-BE32-E72D297353CC}">
              <c16:uniqueId val="{00000000-3982-472C-845C-0AE77E96FF71}"/>
            </c:ext>
          </c:extLst>
        </c:ser>
        <c:ser>
          <c:idx val="1"/>
          <c:order val="1"/>
          <c:tx>
            <c:strRef>
              <c:f>Sheet1!$A$3</c:f>
              <c:strCache>
                <c:ptCount val="1"/>
                <c:pt idx="0">
                  <c:v>дівчат</c:v>
                </c:pt>
              </c:strCache>
            </c:strRef>
          </c:tx>
          <c:spPr>
            <a:solidFill>
              <a:srgbClr val="FF99CC"/>
            </a:solidFill>
            <a:ln w="12699">
              <a:solidFill>
                <a:srgbClr val="000000"/>
              </a:solidFill>
              <a:prstDash val="solid"/>
            </a:ln>
          </c:spPr>
          <c:dLbls>
            <c:spPr>
              <a:noFill/>
              <a:ln w="25398">
                <a:noFill/>
              </a:ln>
            </c:spPr>
            <c:txPr>
              <a:bodyPr/>
              <a:lstStyle/>
              <a:p>
                <a:pPr>
                  <a:defRPr sz="1200" b="0"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Sheet1!$B$3:$G$3</c:f>
              <c:numCache>
                <c:formatCode>General</c:formatCode>
                <c:ptCount val="6"/>
                <c:pt idx="0">
                  <c:v>35</c:v>
                </c:pt>
                <c:pt idx="1">
                  <c:v>30</c:v>
                </c:pt>
                <c:pt idx="2">
                  <c:v>50</c:v>
                </c:pt>
                <c:pt idx="3">
                  <c:v>45</c:v>
                </c:pt>
                <c:pt idx="4">
                  <c:v>45</c:v>
                </c:pt>
                <c:pt idx="5">
                  <c:v>70</c:v>
                </c:pt>
              </c:numCache>
            </c:numRef>
          </c:val>
          <c:extLst xmlns:c16r2="http://schemas.microsoft.com/office/drawing/2015/06/chart">
            <c:ext xmlns:c16="http://schemas.microsoft.com/office/drawing/2014/chart" uri="{C3380CC4-5D6E-409C-BE32-E72D297353CC}">
              <c16:uniqueId val="{00000001-3982-472C-845C-0AE77E96FF71}"/>
            </c:ext>
          </c:extLst>
        </c:ser>
        <c:ser>
          <c:idx val="2"/>
          <c:order val="2"/>
          <c:tx>
            <c:strRef>
              <c:f>Sheet1!$A$4</c:f>
              <c:strCache>
                <c:ptCount val="1"/>
                <c:pt idx="0">
                  <c:v>хлопців</c:v>
                </c:pt>
              </c:strCache>
            </c:strRef>
          </c:tx>
          <c:spPr>
            <a:solidFill>
              <a:srgbClr val="9999FF"/>
            </a:solidFill>
            <a:ln w="12699">
              <a:solidFill>
                <a:srgbClr val="000000"/>
              </a:solidFill>
              <a:prstDash val="solid"/>
            </a:ln>
          </c:spPr>
          <c:dLbls>
            <c:spPr>
              <a:noFill/>
              <a:ln w="25398">
                <a:noFill/>
              </a:ln>
            </c:spPr>
            <c:txPr>
              <a:bodyPr/>
              <a:lstStyle/>
              <a:p>
                <a:pPr>
                  <a:defRPr sz="1200" b="0"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Sheet1!$B$4:$G$4</c:f>
              <c:numCache>
                <c:formatCode>General</c:formatCode>
                <c:ptCount val="6"/>
                <c:pt idx="0">
                  <c:v>50</c:v>
                </c:pt>
                <c:pt idx="1">
                  <c:v>67</c:v>
                </c:pt>
                <c:pt idx="2">
                  <c:v>47</c:v>
                </c:pt>
                <c:pt idx="3">
                  <c:v>65</c:v>
                </c:pt>
                <c:pt idx="4">
                  <c:v>45</c:v>
                </c:pt>
                <c:pt idx="5">
                  <c:v>50</c:v>
                </c:pt>
              </c:numCache>
            </c:numRef>
          </c:val>
          <c:extLst xmlns:c16r2="http://schemas.microsoft.com/office/drawing/2015/06/chart">
            <c:ext xmlns:c16="http://schemas.microsoft.com/office/drawing/2014/chart" uri="{C3380CC4-5D6E-409C-BE32-E72D297353CC}">
              <c16:uniqueId val="{00000002-3982-472C-845C-0AE77E96FF71}"/>
            </c:ext>
          </c:extLst>
        </c:ser>
        <c:gapDepth val="0"/>
        <c:shape val="box"/>
        <c:axId val="91095424"/>
        <c:axId val="91096960"/>
        <c:axId val="0"/>
      </c:bar3DChart>
      <c:catAx>
        <c:axId val="91095424"/>
        <c:scaling>
          <c:orientation val="minMax"/>
        </c:scaling>
        <c:axPos val="b"/>
        <c:numFmt formatCode="General" sourceLinked="1"/>
        <c:tickLblPos val="low"/>
        <c:spPr>
          <a:ln w="3175">
            <a:solidFill>
              <a:srgbClr val="000000"/>
            </a:solidFill>
            <a:prstDash val="solid"/>
          </a:ln>
        </c:spPr>
        <c:txPr>
          <a:bodyPr rot="0" vert="horz"/>
          <a:lstStyle/>
          <a:p>
            <a:pPr>
              <a:defRPr sz="1200" b="0" i="0" u="none" strike="noStrike" baseline="0">
                <a:solidFill>
                  <a:srgbClr val="000000"/>
                </a:solidFill>
                <a:latin typeface="Times New Roman" pitchFamily="18" charset="0"/>
                <a:ea typeface="Arial Cyr"/>
                <a:cs typeface="Arial Cyr"/>
              </a:defRPr>
            </a:pPr>
            <a:endParaRPr lang="uk-UA"/>
          </a:p>
        </c:txPr>
        <c:crossAx val="91096960"/>
        <c:crosses val="autoZero"/>
        <c:auto val="1"/>
        <c:lblAlgn val="ctr"/>
        <c:lblOffset val="100"/>
        <c:tickLblSkip val="1"/>
        <c:tickMarkSkip val="1"/>
      </c:catAx>
      <c:valAx>
        <c:axId val="91096960"/>
        <c:scaling>
          <c:orientation val="minMax"/>
        </c:scaling>
        <c:axPos val="r"/>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400" b="0" i="0" u="none" strike="noStrike" baseline="0">
                <a:solidFill>
                  <a:srgbClr val="000000"/>
                </a:solidFill>
                <a:latin typeface="Times New Roman" pitchFamily="18" charset="0"/>
                <a:ea typeface="Arial Cyr"/>
                <a:cs typeface="Arial Cyr"/>
              </a:defRPr>
            </a:pPr>
            <a:endParaRPr lang="uk-UA"/>
          </a:p>
        </c:txPr>
        <c:crossAx val="91095424"/>
        <c:crosses val="max"/>
        <c:crossBetween val="between"/>
      </c:valAx>
      <c:spPr>
        <a:noFill/>
        <a:ln w="25398">
          <a:noFill/>
        </a:ln>
      </c:spPr>
    </c:plotArea>
    <c:legend>
      <c:legendPos val="r"/>
      <c:layout>
        <c:manualLayout>
          <c:xMode val="edge"/>
          <c:yMode val="edge"/>
          <c:x val="0.83921251443569567"/>
          <c:y val="0.44641211515227375"/>
          <c:w val="0.14911932808398948"/>
          <c:h val="0.46552097654459951"/>
        </c:manualLayout>
      </c:layout>
      <c:spPr>
        <a:noFill/>
        <a:ln w="3175">
          <a:solidFill>
            <a:srgbClr val="000000"/>
          </a:solidFill>
          <a:prstDash val="solid"/>
        </a:ln>
      </c:spPr>
      <c:txPr>
        <a:bodyPr/>
        <a:lstStyle/>
        <a:p>
          <a:pPr>
            <a:defRPr sz="1200" b="0" i="0" u="none" strike="noStrike" baseline="0">
              <a:solidFill>
                <a:srgbClr val="000000"/>
              </a:solidFill>
              <a:latin typeface="Times New Roman" pitchFamily="18" charset="0"/>
              <a:ea typeface="Arial Cyr"/>
              <a:cs typeface="Arial Cyr"/>
            </a:defRPr>
          </a:pPr>
          <a:endParaRPr lang="uk-UA"/>
        </a:p>
      </c:txPr>
    </c:legend>
    <c:plotVisOnly val="1"/>
    <c:dispBlanksAs val="gap"/>
  </c:chart>
  <c:spPr>
    <a:noFill/>
    <a:ln>
      <a:noFill/>
    </a:ln>
  </c:spPr>
  <c:txPr>
    <a:bodyPr/>
    <a:lstStyle/>
    <a:p>
      <a:pPr>
        <a:defRPr sz="1075" b="1" i="0" u="none" strike="noStrike" baseline="0">
          <a:solidFill>
            <a:srgbClr val="000000"/>
          </a:solidFill>
          <a:latin typeface="Arial Cyr"/>
          <a:ea typeface="Arial Cyr"/>
          <a:cs typeface="Arial Cyr"/>
        </a:defRPr>
      </a:pPr>
      <a:endParaRPr lang="uk-UA"/>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hPercent val="22"/>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5.5384615384615414E-2"/>
          <c:y val="0.37864077669903001"/>
          <c:w val="0.85846153846153861"/>
          <c:h val="0.43203883495145717"/>
        </c:manualLayout>
      </c:layout>
      <c:bar3DChart>
        <c:barDir val="col"/>
        <c:grouping val="clustered"/>
        <c:ser>
          <c:idx val="0"/>
          <c:order val="0"/>
          <c:tx>
            <c:strRef>
              <c:f>Sheet1!$A$2</c:f>
              <c:strCache>
                <c:ptCount val="1"/>
                <c:pt idx="0">
                  <c:v>разом</c:v>
                </c:pt>
              </c:strCache>
            </c:strRef>
          </c:tx>
          <c:spPr>
            <a:solidFill>
              <a:srgbClr val="FFFFFF"/>
            </a:solidFill>
            <a:ln w="12700">
              <a:solidFill>
                <a:srgbClr val="000000"/>
              </a:solidFill>
              <a:prstDash val="solid"/>
            </a:ln>
          </c:spPr>
          <c:dLbls>
            <c:spPr>
              <a:noFill/>
              <a:ln w="25399">
                <a:noFill/>
              </a:ln>
            </c:spPr>
            <c:txPr>
              <a:bodyPr/>
              <a:lstStyle/>
              <a:p>
                <a:pPr>
                  <a:defRPr sz="1200" b="0"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Sheet1!$B$2:$G$2</c:f>
              <c:numCache>
                <c:formatCode>General</c:formatCode>
                <c:ptCount val="6"/>
                <c:pt idx="0">
                  <c:v>3</c:v>
                </c:pt>
                <c:pt idx="1">
                  <c:v>0</c:v>
                </c:pt>
                <c:pt idx="2">
                  <c:v>3</c:v>
                </c:pt>
                <c:pt idx="3">
                  <c:v>2</c:v>
                </c:pt>
                <c:pt idx="4">
                  <c:v>7</c:v>
                </c:pt>
                <c:pt idx="5">
                  <c:v>13</c:v>
                </c:pt>
              </c:numCache>
            </c:numRef>
          </c:val>
          <c:extLst xmlns:c16r2="http://schemas.microsoft.com/office/drawing/2015/06/chart">
            <c:ext xmlns:c16="http://schemas.microsoft.com/office/drawing/2014/chart" uri="{C3380CC4-5D6E-409C-BE32-E72D297353CC}">
              <c16:uniqueId val="{00000000-C080-45A7-A87D-A5B268CF0A2D}"/>
            </c:ext>
          </c:extLst>
        </c:ser>
        <c:ser>
          <c:idx val="1"/>
          <c:order val="1"/>
          <c:tx>
            <c:strRef>
              <c:f>Sheet1!$A$3</c:f>
              <c:strCache>
                <c:ptCount val="1"/>
                <c:pt idx="0">
                  <c:v>дівчат</c:v>
                </c:pt>
              </c:strCache>
            </c:strRef>
          </c:tx>
          <c:spPr>
            <a:solidFill>
              <a:srgbClr val="FF99CC"/>
            </a:solidFill>
            <a:ln w="12700">
              <a:solidFill>
                <a:srgbClr val="000000"/>
              </a:solidFill>
              <a:prstDash val="solid"/>
            </a:ln>
          </c:spPr>
          <c:dLbls>
            <c:spPr>
              <a:noFill/>
              <a:ln w="25399">
                <a:noFill/>
              </a:ln>
            </c:spPr>
            <c:txPr>
              <a:bodyPr/>
              <a:lstStyle/>
              <a:p>
                <a:pPr>
                  <a:defRPr sz="1200" b="0"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Sheet1!$B$3:$G$3</c:f>
              <c:numCache>
                <c:formatCode>General</c:formatCode>
                <c:ptCount val="6"/>
                <c:pt idx="0">
                  <c:v>0</c:v>
                </c:pt>
                <c:pt idx="1">
                  <c:v>0</c:v>
                </c:pt>
                <c:pt idx="2">
                  <c:v>6</c:v>
                </c:pt>
                <c:pt idx="3">
                  <c:v>5</c:v>
                </c:pt>
                <c:pt idx="4">
                  <c:v>10</c:v>
                </c:pt>
                <c:pt idx="5">
                  <c:v>0</c:v>
                </c:pt>
              </c:numCache>
            </c:numRef>
          </c:val>
          <c:extLst xmlns:c16r2="http://schemas.microsoft.com/office/drawing/2015/06/chart">
            <c:ext xmlns:c16="http://schemas.microsoft.com/office/drawing/2014/chart" uri="{C3380CC4-5D6E-409C-BE32-E72D297353CC}">
              <c16:uniqueId val="{00000001-C080-45A7-A87D-A5B268CF0A2D}"/>
            </c:ext>
          </c:extLst>
        </c:ser>
        <c:ser>
          <c:idx val="2"/>
          <c:order val="2"/>
          <c:tx>
            <c:strRef>
              <c:f>Sheet1!$A$4</c:f>
              <c:strCache>
                <c:ptCount val="1"/>
                <c:pt idx="0">
                  <c:v>хлопців</c:v>
                </c:pt>
              </c:strCache>
            </c:strRef>
          </c:tx>
          <c:spPr>
            <a:solidFill>
              <a:srgbClr val="9999FF"/>
            </a:solidFill>
            <a:ln w="12700">
              <a:solidFill>
                <a:srgbClr val="000000"/>
              </a:solidFill>
              <a:prstDash val="solid"/>
            </a:ln>
          </c:spPr>
          <c:dLbls>
            <c:spPr>
              <a:noFill/>
              <a:ln w="25399">
                <a:noFill/>
              </a:ln>
            </c:spPr>
            <c:txPr>
              <a:bodyPr/>
              <a:lstStyle/>
              <a:p>
                <a:pPr>
                  <a:defRPr sz="1200" b="0"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Sheet1!$B$4:$G$4</c:f>
              <c:numCache>
                <c:formatCode>General</c:formatCode>
                <c:ptCount val="6"/>
                <c:pt idx="0">
                  <c:v>6</c:v>
                </c:pt>
                <c:pt idx="1">
                  <c:v>0</c:v>
                </c:pt>
                <c:pt idx="2">
                  <c:v>0</c:v>
                </c:pt>
                <c:pt idx="3">
                  <c:v>0</c:v>
                </c:pt>
                <c:pt idx="4">
                  <c:v>5</c:v>
                </c:pt>
                <c:pt idx="5">
                  <c:v>28</c:v>
                </c:pt>
              </c:numCache>
            </c:numRef>
          </c:val>
          <c:extLst xmlns:c16r2="http://schemas.microsoft.com/office/drawing/2015/06/chart">
            <c:ext xmlns:c16="http://schemas.microsoft.com/office/drawing/2014/chart" uri="{C3380CC4-5D6E-409C-BE32-E72D297353CC}">
              <c16:uniqueId val="{00000002-C080-45A7-A87D-A5B268CF0A2D}"/>
            </c:ext>
          </c:extLst>
        </c:ser>
        <c:gapDepth val="0"/>
        <c:shape val="box"/>
        <c:axId val="98309632"/>
        <c:axId val="98311168"/>
        <c:axId val="0"/>
      </c:bar3DChart>
      <c:catAx>
        <c:axId val="98309632"/>
        <c:scaling>
          <c:orientation val="minMax"/>
        </c:scaling>
        <c:axPos val="b"/>
        <c:numFmt formatCode="General" sourceLinked="1"/>
        <c:tickLblPos val="low"/>
        <c:spPr>
          <a:ln w="3175">
            <a:solidFill>
              <a:srgbClr val="000000"/>
            </a:solidFill>
            <a:prstDash val="solid"/>
          </a:ln>
        </c:spPr>
        <c:txPr>
          <a:bodyPr rot="0" vert="horz"/>
          <a:lstStyle/>
          <a:p>
            <a:pPr>
              <a:defRPr sz="1400" b="0" i="0" u="none" strike="noStrike" baseline="0">
                <a:solidFill>
                  <a:srgbClr val="000000"/>
                </a:solidFill>
                <a:latin typeface="Times New Roman" pitchFamily="18" charset="0"/>
                <a:ea typeface="Arial Cyr"/>
                <a:cs typeface="Arial Cyr"/>
              </a:defRPr>
            </a:pPr>
            <a:endParaRPr lang="uk-UA"/>
          </a:p>
        </c:txPr>
        <c:crossAx val="98311168"/>
        <c:crosses val="autoZero"/>
        <c:auto val="1"/>
        <c:lblAlgn val="ctr"/>
        <c:lblOffset val="100"/>
        <c:tickLblSkip val="1"/>
        <c:tickMarkSkip val="1"/>
      </c:catAx>
      <c:valAx>
        <c:axId val="98311168"/>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400" b="0" i="0" u="none" strike="noStrike" baseline="0">
                <a:solidFill>
                  <a:srgbClr val="000000"/>
                </a:solidFill>
                <a:latin typeface="Times New Roman" pitchFamily="18" charset="0"/>
                <a:ea typeface="Arial Cyr"/>
                <a:cs typeface="Arial Cyr"/>
              </a:defRPr>
            </a:pPr>
            <a:endParaRPr lang="uk-UA"/>
          </a:p>
        </c:txPr>
        <c:crossAx val="98309632"/>
        <c:crosses val="autoZero"/>
        <c:crossBetween val="between"/>
      </c:valAx>
      <c:spPr>
        <a:noFill/>
        <a:ln w="25399">
          <a:noFill/>
        </a:ln>
      </c:spPr>
    </c:plotArea>
    <c:legend>
      <c:legendPos val="r"/>
      <c:layout>
        <c:manualLayout>
          <c:xMode val="edge"/>
          <c:yMode val="edge"/>
          <c:x val="0.83893636518183956"/>
          <c:y val="0.10679611650485459"/>
          <c:w val="0.13029451887234494"/>
          <c:h val="0.56376591814912214"/>
        </c:manualLayout>
      </c:layout>
      <c:spPr>
        <a:noFill/>
        <a:ln w="3175">
          <a:solidFill>
            <a:srgbClr val="000000"/>
          </a:solidFill>
          <a:prstDash val="solid"/>
        </a:ln>
      </c:spPr>
      <c:txPr>
        <a:bodyPr/>
        <a:lstStyle/>
        <a:p>
          <a:pPr>
            <a:defRPr sz="1200" b="0" i="0" u="none" strike="noStrike" baseline="0">
              <a:solidFill>
                <a:srgbClr val="000000"/>
              </a:solidFill>
              <a:latin typeface="Times New Roman" pitchFamily="18" charset="0"/>
              <a:ea typeface="Arial Cyr"/>
              <a:cs typeface="Arial Cyr"/>
            </a:defRPr>
          </a:pPr>
          <a:endParaRPr lang="uk-UA"/>
        </a:p>
      </c:txPr>
    </c:legend>
    <c:plotVisOnly val="1"/>
    <c:dispBlanksAs val="gap"/>
  </c:chart>
  <c:spPr>
    <a:noFill/>
    <a:ln>
      <a:noFill/>
    </a:ln>
  </c:spPr>
  <c:txPr>
    <a:bodyPr/>
    <a:lstStyle/>
    <a:p>
      <a:pPr>
        <a:defRPr sz="900" b="1" i="0" u="none" strike="noStrike" baseline="0">
          <a:solidFill>
            <a:srgbClr val="000000"/>
          </a:solidFill>
          <a:latin typeface="Arial Cyr"/>
          <a:ea typeface="Arial Cyr"/>
          <a:cs typeface="Arial Cyr"/>
        </a:defRPr>
      </a:pPr>
      <a:endParaRPr lang="uk-UA"/>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hPercent val="30"/>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5.6426332288401312E-2"/>
          <c:y val="0.36842105263157893"/>
          <c:w val="0.82288401253918952"/>
          <c:h val="0.48496240601503782"/>
        </c:manualLayout>
      </c:layout>
      <c:bar3DChart>
        <c:barDir val="col"/>
        <c:grouping val="clustered"/>
        <c:ser>
          <c:idx val="0"/>
          <c:order val="0"/>
          <c:tx>
            <c:strRef>
              <c:f>Sheet1!$A$2</c:f>
              <c:strCache>
                <c:ptCount val="1"/>
                <c:pt idx="0">
                  <c:v>разом</c:v>
                </c:pt>
              </c:strCache>
            </c:strRef>
          </c:tx>
          <c:spPr>
            <a:solidFill>
              <a:srgbClr val="FFFFFF"/>
            </a:solidFill>
            <a:ln w="12702">
              <a:solidFill>
                <a:srgbClr val="000000"/>
              </a:solidFill>
              <a:prstDash val="solid"/>
            </a:ln>
          </c:spPr>
          <c:dLbls>
            <c:spPr>
              <a:noFill/>
              <a:ln w="25404">
                <a:noFill/>
              </a:ln>
            </c:spPr>
            <c:txPr>
              <a:bodyPr/>
              <a:lstStyle/>
              <a:p>
                <a:pPr>
                  <a:defRPr sz="1200" b="0"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Sheet1!$B$2:$G$2</c:f>
              <c:numCache>
                <c:formatCode>General</c:formatCode>
                <c:ptCount val="6"/>
                <c:pt idx="0">
                  <c:v>3</c:v>
                </c:pt>
                <c:pt idx="1">
                  <c:v>10</c:v>
                </c:pt>
                <c:pt idx="2">
                  <c:v>11</c:v>
                </c:pt>
                <c:pt idx="3">
                  <c:v>20</c:v>
                </c:pt>
                <c:pt idx="4">
                  <c:v>15</c:v>
                </c:pt>
                <c:pt idx="5">
                  <c:v>21</c:v>
                </c:pt>
              </c:numCache>
            </c:numRef>
          </c:val>
          <c:extLst xmlns:c16r2="http://schemas.microsoft.com/office/drawing/2015/06/chart">
            <c:ext xmlns:c16="http://schemas.microsoft.com/office/drawing/2014/chart" uri="{C3380CC4-5D6E-409C-BE32-E72D297353CC}">
              <c16:uniqueId val="{00000000-D01D-4730-AD19-3597C4AB4476}"/>
            </c:ext>
          </c:extLst>
        </c:ser>
        <c:ser>
          <c:idx val="1"/>
          <c:order val="1"/>
          <c:tx>
            <c:strRef>
              <c:f>Sheet1!$A$3</c:f>
              <c:strCache>
                <c:ptCount val="1"/>
                <c:pt idx="0">
                  <c:v>дівчат</c:v>
                </c:pt>
              </c:strCache>
            </c:strRef>
          </c:tx>
          <c:spPr>
            <a:solidFill>
              <a:srgbClr val="FF99CC"/>
            </a:solidFill>
            <a:ln w="12702">
              <a:solidFill>
                <a:srgbClr val="000000"/>
              </a:solidFill>
              <a:prstDash val="solid"/>
            </a:ln>
          </c:spPr>
          <c:dLbls>
            <c:spPr>
              <a:noFill/>
              <a:ln w="25404">
                <a:noFill/>
              </a:ln>
            </c:spPr>
            <c:txPr>
              <a:bodyPr/>
              <a:lstStyle/>
              <a:p>
                <a:pPr>
                  <a:defRPr sz="1200" b="0"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Sheet1!$B$3:$G$3</c:f>
              <c:numCache>
                <c:formatCode>General</c:formatCode>
                <c:ptCount val="6"/>
                <c:pt idx="0">
                  <c:v>0</c:v>
                </c:pt>
                <c:pt idx="1">
                  <c:v>5</c:v>
                </c:pt>
                <c:pt idx="2">
                  <c:v>17</c:v>
                </c:pt>
                <c:pt idx="3">
                  <c:v>25</c:v>
                </c:pt>
                <c:pt idx="4">
                  <c:v>20</c:v>
                </c:pt>
                <c:pt idx="5">
                  <c:v>20</c:v>
                </c:pt>
              </c:numCache>
            </c:numRef>
          </c:val>
          <c:extLst xmlns:c16r2="http://schemas.microsoft.com/office/drawing/2015/06/chart">
            <c:ext xmlns:c16="http://schemas.microsoft.com/office/drawing/2014/chart" uri="{C3380CC4-5D6E-409C-BE32-E72D297353CC}">
              <c16:uniqueId val="{00000001-D01D-4730-AD19-3597C4AB4476}"/>
            </c:ext>
          </c:extLst>
        </c:ser>
        <c:ser>
          <c:idx val="2"/>
          <c:order val="2"/>
          <c:tx>
            <c:strRef>
              <c:f>Sheet1!$A$4</c:f>
              <c:strCache>
                <c:ptCount val="1"/>
                <c:pt idx="0">
                  <c:v>хлопців</c:v>
                </c:pt>
              </c:strCache>
            </c:strRef>
          </c:tx>
          <c:spPr>
            <a:solidFill>
              <a:srgbClr val="9999FF"/>
            </a:solidFill>
            <a:ln w="12702">
              <a:solidFill>
                <a:srgbClr val="000000"/>
              </a:solidFill>
              <a:prstDash val="solid"/>
            </a:ln>
          </c:spPr>
          <c:dLbls>
            <c:spPr>
              <a:noFill/>
              <a:ln w="25404">
                <a:noFill/>
              </a:ln>
            </c:spPr>
            <c:txPr>
              <a:bodyPr/>
              <a:lstStyle/>
              <a:p>
                <a:pPr>
                  <a:defRPr sz="1200" b="0"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Sheet1!$B$4:$G$4</c:f>
              <c:numCache>
                <c:formatCode>General</c:formatCode>
                <c:ptCount val="6"/>
                <c:pt idx="0">
                  <c:v>6</c:v>
                </c:pt>
                <c:pt idx="1">
                  <c:v>17</c:v>
                </c:pt>
                <c:pt idx="2">
                  <c:v>5</c:v>
                </c:pt>
                <c:pt idx="3">
                  <c:v>15</c:v>
                </c:pt>
                <c:pt idx="4">
                  <c:v>10</c:v>
                </c:pt>
                <c:pt idx="5">
                  <c:v>22</c:v>
                </c:pt>
              </c:numCache>
            </c:numRef>
          </c:val>
          <c:extLst xmlns:c16r2="http://schemas.microsoft.com/office/drawing/2015/06/chart">
            <c:ext xmlns:c16="http://schemas.microsoft.com/office/drawing/2014/chart" uri="{C3380CC4-5D6E-409C-BE32-E72D297353CC}">
              <c16:uniqueId val="{00000002-D01D-4730-AD19-3597C4AB4476}"/>
            </c:ext>
          </c:extLst>
        </c:ser>
        <c:gapDepth val="0"/>
        <c:shape val="box"/>
        <c:axId val="189487744"/>
        <c:axId val="186388864"/>
        <c:axId val="0"/>
      </c:bar3DChart>
      <c:catAx>
        <c:axId val="189487744"/>
        <c:scaling>
          <c:orientation val="minMax"/>
        </c:scaling>
        <c:axPos val="b"/>
        <c:numFmt formatCode="General" sourceLinked="1"/>
        <c:tickLblPos val="low"/>
        <c:spPr>
          <a:ln w="3176">
            <a:solidFill>
              <a:srgbClr val="000000"/>
            </a:solidFill>
            <a:prstDash val="solid"/>
          </a:ln>
        </c:spPr>
        <c:txPr>
          <a:bodyPr rot="0" vert="horz"/>
          <a:lstStyle/>
          <a:p>
            <a:pPr>
              <a:defRPr sz="1200" b="0" i="0" u="none" strike="noStrike" baseline="0">
                <a:solidFill>
                  <a:srgbClr val="000000"/>
                </a:solidFill>
                <a:latin typeface="Times New Roman" pitchFamily="18" charset="0"/>
                <a:ea typeface="Arial Cyr"/>
                <a:cs typeface="Arial Cyr"/>
              </a:defRPr>
            </a:pPr>
            <a:endParaRPr lang="uk-UA"/>
          </a:p>
        </c:txPr>
        <c:crossAx val="186388864"/>
        <c:crosses val="autoZero"/>
        <c:auto val="1"/>
        <c:lblAlgn val="ctr"/>
        <c:lblOffset val="100"/>
        <c:tickLblSkip val="1"/>
        <c:tickMarkSkip val="1"/>
      </c:catAx>
      <c:valAx>
        <c:axId val="186388864"/>
        <c:scaling>
          <c:orientation val="minMax"/>
        </c:scaling>
        <c:axPos val="l"/>
        <c:majorGridlines>
          <c:spPr>
            <a:ln w="3176">
              <a:solidFill>
                <a:srgbClr val="000000"/>
              </a:solidFill>
              <a:prstDash val="solid"/>
            </a:ln>
          </c:spPr>
        </c:majorGridlines>
        <c:numFmt formatCode="General" sourceLinked="1"/>
        <c:tickLblPos val="nextTo"/>
        <c:spPr>
          <a:ln w="3176">
            <a:solidFill>
              <a:srgbClr val="000000"/>
            </a:solidFill>
            <a:prstDash val="solid"/>
          </a:ln>
        </c:spPr>
        <c:txPr>
          <a:bodyPr rot="0" vert="horz"/>
          <a:lstStyle/>
          <a:p>
            <a:pPr>
              <a:defRPr sz="1200" b="0" i="0" u="none" strike="noStrike" baseline="0">
                <a:solidFill>
                  <a:srgbClr val="000000"/>
                </a:solidFill>
                <a:latin typeface="Times New Roman" pitchFamily="18" charset="0"/>
                <a:ea typeface="Arial Cyr"/>
                <a:cs typeface="Arial Cyr"/>
              </a:defRPr>
            </a:pPr>
            <a:endParaRPr lang="uk-UA"/>
          </a:p>
        </c:txPr>
        <c:crossAx val="189487744"/>
        <c:crosses val="autoZero"/>
        <c:crossBetween val="between"/>
      </c:valAx>
      <c:spPr>
        <a:noFill/>
        <a:ln w="25404">
          <a:noFill/>
        </a:ln>
      </c:spPr>
    </c:plotArea>
    <c:legend>
      <c:legendPos val="t"/>
      <c:layout>
        <c:manualLayout>
          <c:xMode val="edge"/>
          <c:yMode val="edge"/>
          <c:x val="0.82180033051424162"/>
          <c:y val="0.35928083989501425"/>
          <c:w val="0.15488221379734987"/>
          <c:h val="0.51734330708661358"/>
        </c:manualLayout>
      </c:layout>
      <c:spPr>
        <a:noFill/>
        <a:ln w="3176">
          <a:solidFill>
            <a:srgbClr val="000000"/>
          </a:solidFill>
          <a:prstDash val="solid"/>
        </a:ln>
      </c:spPr>
      <c:txPr>
        <a:bodyPr/>
        <a:lstStyle/>
        <a:p>
          <a:pPr>
            <a:defRPr sz="1200" b="0" i="0" u="none" strike="noStrike" baseline="0">
              <a:solidFill>
                <a:srgbClr val="000000"/>
              </a:solidFill>
              <a:latin typeface="Times New Roman" pitchFamily="18" charset="0"/>
              <a:ea typeface="Arial Cyr"/>
              <a:cs typeface="Arial Cyr"/>
            </a:defRPr>
          </a:pPr>
          <a:endParaRPr lang="uk-UA"/>
        </a:p>
      </c:txPr>
    </c:legend>
    <c:plotVisOnly val="1"/>
    <c:dispBlanksAs val="gap"/>
  </c:chart>
  <c:spPr>
    <a:noFill/>
    <a:ln>
      <a:noFill/>
    </a:ln>
  </c:spPr>
  <c:txPr>
    <a:bodyPr/>
    <a:lstStyle/>
    <a:p>
      <a:pPr>
        <a:defRPr sz="1175" b="1" i="0" u="none" strike="noStrike" baseline="0">
          <a:solidFill>
            <a:srgbClr val="000000"/>
          </a:solidFill>
          <a:latin typeface="Arial Cyr"/>
          <a:ea typeface="Arial Cyr"/>
          <a:cs typeface="Arial Cyr"/>
        </a:defRPr>
      </a:pPr>
      <a:endParaRPr lang="uk-UA"/>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5.3412462908012097E-2"/>
          <c:y val="0.26551724137931032"/>
          <c:w val="0.83234421364985511"/>
          <c:h val="0.60000000000000064"/>
        </c:manualLayout>
      </c:layout>
      <c:bar3DChart>
        <c:barDir val="col"/>
        <c:grouping val="clustered"/>
        <c:ser>
          <c:idx val="0"/>
          <c:order val="0"/>
          <c:tx>
            <c:strRef>
              <c:f>Sheet1!$A$2</c:f>
              <c:strCache>
                <c:ptCount val="1"/>
                <c:pt idx="0">
                  <c:v>разом</c:v>
                </c:pt>
              </c:strCache>
            </c:strRef>
          </c:tx>
          <c:spPr>
            <a:solidFill>
              <a:srgbClr val="FFFFFF"/>
            </a:solidFill>
            <a:ln w="12699">
              <a:solidFill>
                <a:srgbClr val="000000"/>
              </a:solidFill>
              <a:prstDash val="solid"/>
            </a:ln>
          </c:spPr>
          <c:dLbls>
            <c:spPr>
              <a:noFill/>
              <a:ln w="25398">
                <a:noFill/>
              </a:ln>
            </c:spPr>
            <c:txPr>
              <a:bodyPr/>
              <a:lstStyle/>
              <a:p>
                <a:pPr>
                  <a:defRPr sz="1200" b="0"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Sheet1!$B$2:$G$2</c:f>
              <c:numCache>
                <c:formatCode>General</c:formatCode>
                <c:ptCount val="6"/>
                <c:pt idx="0">
                  <c:v>3</c:v>
                </c:pt>
                <c:pt idx="1">
                  <c:v>0</c:v>
                </c:pt>
                <c:pt idx="2">
                  <c:v>8</c:v>
                </c:pt>
                <c:pt idx="3">
                  <c:v>10</c:v>
                </c:pt>
                <c:pt idx="4">
                  <c:v>2</c:v>
                </c:pt>
                <c:pt idx="5">
                  <c:v>26</c:v>
                </c:pt>
              </c:numCache>
            </c:numRef>
          </c:val>
          <c:extLst xmlns:c16r2="http://schemas.microsoft.com/office/drawing/2015/06/chart">
            <c:ext xmlns:c16="http://schemas.microsoft.com/office/drawing/2014/chart" uri="{C3380CC4-5D6E-409C-BE32-E72D297353CC}">
              <c16:uniqueId val="{00000000-5C3C-4F15-8604-D559FBDAF70B}"/>
            </c:ext>
          </c:extLst>
        </c:ser>
        <c:ser>
          <c:idx val="1"/>
          <c:order val="1"/>
          <c:tx>
            <c:strRef>
              <c:f>Sheet1!$A$3</c:f>
              <c:strCache>
                <c:ptCount val="1"/>
                <c:pt idx="0">
                  <c:v>дівчат</c:v>
                </c:pt>
              </c:strCache>
            </c:strRef>
          </c:tx>
          <c:spPr>
            <a:solidFill>
              <a:srgbClr val="FF99CC"/>
            </a:solidFill>
            <a:ln w="12699">
              <a:solidFill>
                <a:srgbClr val="000000"/>
              </a:solidFill>
              <a:prstDash val="solid"/>
            </a:ln>
          </c:spPr>
          <c:dLbls>
            <c:spPr>
              <a:noFill/>
              <a:ln w="25398">
                <a:noFill/>
              </a:ln>
            </c:spPr>
            <c:txPr>
              <a:bodyPr/>
              <a:lstStyle/>
              <a:p>
                <a:pPr>
                  <a:defRPr sz="1200" b="0"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Sheet1!$B$3:$G$3</c:f>
              <c:numCache>
                <c:formatCode>General</c:formatCode>
                <c:ptCount val="6"/>
                <c:pt idx="0">
                  <c:v>0</c:v>
                </c:pt>
                <c:pt idx="1">
                  <c:v>0</c:v>
                </c:pt>
                <c:pt idx="2">
                  <c:v>6</c:v>
                </c:pt>
                <c:pt idx="3">
                  <c:v>10</c:v>
                </c:pt>
                <c:pt idx="4">
                  <c:v>5</c:v>
                </c:pt>
                <c:pt idx="5">
                  <c:v>25</c:v>
                </c:pt>
              </c:numCache>
            </c:numRef>
          </c:val>
          <c:extLst xmlns:c16r2="http://schemas.microsoft.com/office/drawing/2015/06/chart">
            <c:ext xmlns:c16="http://schemas.microsoft.com/office/drawing/2014/chart" uri="{C3380CC4-5D6E-409C-BE32-E72D297353CC}">
              <c16:uniqueId val="{00000001-5C3C-4F15-8604-D559FBDAF70B}"/>
            </c:ext>
          </c:extLst>
        </c:ser>
        <c:ser>
          <c:idx val="2"/>
          <c:order val="2"/>
          <c:tx>
            <c:strRef>
              <c:f>Sheet1!$A$4</c:f>
              <c:strCache>
                <c:ptCount val="1"/>
                <c:pt idx="0">
                  <c:v>хлопців</c:v>
                </c:pt>
              </c:strCache>
            </c:strRef>
          </c:tx>
          <c:spPr>
            <a:solidFill>
              <a:srgbClr val="9999FF"/>
            </a:solidFill>
            <a:ln w="12699">
              <a:solidFill>
                <a:srgbClr val="000000"/>
              </a:solidFill>
              <a:prstDash val="solid"/>
            </a:ln>
          </c:spPr>
          <c:dLbls>
            <c:spPr>
              <a:noFill/>
              <a:ln w="25398">
                <a:noFill/>
              </a:ln>
            </c:spPr>
            <c:txPr>
              <a:bodyPr/>
              <a:lstStyle/>
              <a:p>
                <a:pPr>
                  <a:defRPr sz="1200" b="0" i="0" u="none" strike="noStrike" baseline="0">
                    <a:solidFill>
                      <a:srgbClr val="000000"/>
                    </a:solidFill>
                    <a:latin typeface="Arial Cyr"/>
                    <a:ea typeface="Arial Cyr"/>
                    <a:cs typeface="Arial Cyr"/>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Sheet1!$B$4:$G$4</c:f>
              <c:numCache>
                <c:formatCode>General</c:formatCode>
                <c:ptCount val="6"/>
                <c:pt idx="0">
                  <c:v>6</c:v>
                </c:pt>
                <c:pt idx="1">
                  <c:v>0</c:v>
                </c:pt>
                <c:pt idx="2">
                  <c:v>11</c:v>
                </c:pt>
                <c:pt idx="3">
                  <c:v>10</c:v>
                </c:pt>
                <c:pt idx="4">
                  <c:v>0</c:v>
                </c:pt>
                <c:pt idx="5">
                  <c:v>28</c:v>
                </c:pt>
              </c:numCache>
            </c:numRef>
          </c:val>
          <c:extLst xmlns:c16r2="http://schemas.microsoft.com/office/drawing/2015/06/chart">
            <c:ext xmlns:c16="http://schemas.microsoft.com/office/drawing/2014/chart" uri="{C3380CC4-5D6E-409C-BE32-E72D297353CC}">
              <c16:uniqueId val="{00000002-5C3C-4F15-8604-D559FBDAF70B}"/>
            </c:ext>
          </c:extLst>
        </c:ser>
        <c:gapDepth val="0"/>
        <c:shape val="box"/>
        <c:axId val="186445824"/>
        <c:axId val="186447360"/>
        <c:axId val="0"/>
      </c:bar3DChart>
      <c:catAx>
        <c:axId val="186445824"/>
        <c:scaling>
          <c:orientation val="minMax"/>
        </c:scaling>
        <c:axPos val="b"/>
        <c:numFmt formatCode="General" sourceLinked="1"/>
        <c:tickLblPos val="low"/>
        <c:spPr>
          <a:ln w="3175">
            <a:solidFill>
              <a:srgbClr val="000000"/>
            </a:solidFill>
            <a:prstDash val="solid"/>
          </a:ln>
        </c:spPr>
        <c:txPr>
          <a:bodyPr rot="0" vert="horz"/>
          <a:lstStyle/>
          <a:p>
            <a:pPr>
              <a:defRPr sz="1200" b="0" i="0" u="none" strike="noStrike" baseline="0">
                <a:solidFill>
                  <a:srgbClr val="000000"/>
                </a:solidFill>
                <a:latin typeface="Times New Roman" pitchFamily="18" charset="0"/>
                <a:ea typeface="Arial Cyr"/>
                <a:cs typeface="Arial Cyr"/>
              </a:defRPr>
            </a:pPr>
            <a:endParaRPr lang="uk-UA"/>
          </a:p>
        </c:txPr>
        <c:crossAx val="186447360"/>
        <c:crosses val="autoZero"/>
        <c:auto val="1"/>
        <c:lblAlgn val="ctr"/>
        <c:lblOffset val="100"/>
        <c:tickLblSkip val="1"/>
        <c:tickMarkSkip val="1"/>
      </c:catAx>
      <c:valAx>
        <c:axId val="186447360"/>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200" b="0" i="0" u="none" strike="noStrike" baseline="0">
                <a:solidFill>
                  <a:srgbClr val="000000"/>
                </a:solidFill>
                <a:latin typeface="Times New Roman" pitchFamily="18" charset="0"/>
                <a:ea typeface="Arial Cyr"/>
                <a:cs typeface="Arial Cyr"/>
              </a:defRPr>
            </a:pPr>
            <a:endParaRPr lang="uk-UA"/>
          </a:p>
        </c:txPr>
        <c:crossAx val="186445824"/>
        <c:crosses val="autoZero"/>
        <c:crossBetween val="between"/>
      </c:valAx>
      <c:spPr>
        <a:noFill/>
        <a:ln w="25398">
          <a:noFill/>
        </a:ln>
      </c:spPr>
    </c:plotArea>
    <c:legend>
      <c:legendPos val="r"/>
      <c:legendEntry>
        <c:idx val="0"/>
        <c:txPr>
          <a:bodyPr/>
          <a:lstStyle/>
          <a:p>
            <a:pPr>
              <a:defRPr sz="1200" b="0" i="0" u="none" strike="noStrike" baseline="0">
                <a:solidFill>
                  <a:srgbClr val="000000"/>
                </a:solidFill>
                <a:latin typeface="Times New Roman" pitchFamily="18" charset="0"/>
                <a:ea typeface="Arial Cyr"/>
                <a:cs typeface="Arial Cyr"/>
              </a:defRPr>
            </a:pPr>
            <a:endParaRPr lang="uk-UA"/>
          </a:p>
        </c:txPr>
      </c:legendEntry>
      <c:legendEntry>
        <c:idx val="1"/>
        <c:txPr>
          <a:bodyPr/>
          <a:lstStyle/>
          <a:p>
            <a:pPr>
              <a:defRPr sz="1200" b="0" i="0" u="none" strike="noStrike" baseline="0">
                <a:solidFill>
                  <a:srgbClr val="000000"/>
                </a:solidFill>
                <a:latin typeface="Times New Roman" pitchFamily="18" charset="0"/>
                <a:ea typeface="Arial Cyr"/>
                <a:cs typeface="Arial Cyr"/>
              </a:defRPr>
            </a:pPr>
            <a:endParaRPr lang="uk-UA"/>
          </a:p>
        </c:txPr>
      </c:legendEntry>
      <c:legendEntry>
        <c:idx val="2"/>
        <c:txPr>
          <a:bodyPr/>
          <a:lstStyle/>
          <a:p>
            <a:pPr>
              <a:defRPr sz="1200" b="0" i="0" u="none" strike="noStrike" baseline="0">
                <a:solidFill>
                  <a:srgbClr val="000000"/>
                </a:solidFill>
                <a:latin typeface="Times New Roman" pitchFamily="18" charset="0"/>
                <a:ea typeface="Arial Cyr"/>
                <a:cs typeface="Arial Cyr"/>
              </a:defRPr>
            </a:pPr>
            <a:endParaRPr lang="uk-UA"/>
          </a:p>
        </c:txPr>
      </c:legendEntry>
      <c:layout>
        <c:manualLayout>
          <c:xMode val="edge"/>
          <c:yMode val="edge"/>
          <c:x val="0.85056385193230011"/>
          <c:y val="0.30306526684164586"/>
          <c:w val="0.13608306798640771"/>
          <c:h val="0.52183902012248473"/>
        </c:manualLayout>
      </c:layout>
      <c:spPr>
        <a:noFill/>
        <a:ln w="3175">
          <a:solidFill>
            <a:srgbClr val="000000"/>
          </a:solidFill>
          <a:prstDash val="solid"/>
        </a:ln>
      </c:spPr>
      <c:txPr>
        <a:bodyPr/>
        <a:lstStyle/>
        <a:p>
          <a:pPr>
            <a:defRPr sz="1200" b="1" i="0" u="none" strike="noStrike" baseline="0">
              <a:solidFill>
                <a:srgbClr val="000000"/>
              </a:solidFill>
              <a:latin typeface="Times New Roman" pitchFamily="18" charset="0"/>
              <a:ea typeface="Arial Cyr"/>
              <a:cs typeface="Arial Cyr"/>
            </a:defRPr>
          </a:pPr>
          <a:endParaRPr lang="uk-UA"/>
        </a:p>
      </c:txPr>
    </c:legend>
    <c:plotVisOnly val="1"/>
    <c:dispBlanksAs val="gap"/>
  </c:chart>
  <c:spPr>
    <a:noFill/>
    <a:ln>
      <a:noFill/>
    </a:ln>
  </c:spPr>
  <c:txPr>
    <a:bodyPr/>
    <a:lstStyle/>
    <a:p>
      <a:pPr>
        <a:defRPr sz="1200" b="1" i="0" u="none" strike="noStrike" baseline="0">
          <a:solidFill>
            <a:srgbClr val="000000"/>
          </a:solidFill>
          <a:latin typeface="Arial Cyr"/>
          <a:ea typeface="Arial Cyr"/>
          <a:cs typeface="Arial Cyr"/>
        </a:defRPr>
      </a:pPr>
      <a:endParaRPr lang="uk-UA"/>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manualLayout>
          <c:layoutTarget val="inner"/>
          <c:xMode val="edge"/>
          <c:yMode val="edge"/>
          <c:x val="7.8717201166180834E-2"/>
          <c:y val="7.6433121019108527E-2"/>
          <c:w val="0.58163265306122447"/>
          <c:h val="0.78025477707006352"/>
        </c:manualLayout>
      </c:layout>
      <c:barChart>
        <c:barDir val="col"/>
        <c:grouping val="clustered"/>
        <c:ser>
          <c:idx val="2"/>
          <c:order val="1"/>
          <c:tx>
            <c:strRef>
              <c:f>Sheet1!$A$4</c:f>
              <c:strCache>
                <c:ptCount val="1"/>
                <c:pt idx="0">
                  <c:v>схильність до порушення норм і правил</c:v>
                </c:pt>
              </c:strCache>
            </c:strRef>
          </c:tx>
          <c:spPr>
            <a:solidFill>
              <a:srgbClr val="FFFF00"/>
            </a:solidFill>
            <a:ln w="12699">
              <a:solidFill>
                <a:srgbClr val="000000"/>
              </a:solidFill>
              <a:prstDash val="solid"/>
            </a:ln>
          </c:spPr>
          <c:cat>
            <c:strRef>
              <c:f>Sheet1!$B$1:$G$1</c:f>
              <c:strCache>
                <c:ptCount val="6"/>
                <c:pt idx="0">
                  <c:v>5 клас</c:v>
                </c:pt>
                <c:pt idx="1">
                  <c:v>6 клас</c:v>
                </c:pt>
                <c:pt idx="2">
                  <c:v>7 клас</c:v>
                </c:pt>
                <c:pt idx="3">
                  <c:v>8 клас</c:v>
                </c:pt>
                <c:pt idx="4">
                  <c:v>9 клас</c:v>
                </c:pt>
                <c:pt idx="5">
                  <c:v>10 клас</c:v>
                </c:pt>
              </c:strCache>
            </c:strRef>
          </c:cat>
          <c:val>
            <c:numRef>
              <c:f>Sheet1!$B$4:$G$4</c:f>
              <c:numCache>
                <c:formatCode>General</c:formatCode>
                <c:ptCount val="6"/>
                <c:pt idx="0">
                  <c:v>0</c:v>
                </c:pt>
                <c:pt idx="1">
                  <c:v>0</c:v>
                </c:pt>
                <c:pt idx="2">
                  <c:v>0</c:v>
                </c:pt>
                <c:pt idx="3">
                  <c:v>0</c:v>
                </c:pt>
                <c:pt idx="4">
                  <c:v>5</c:v>
                </c:pt>
                <c:pt idx="5">
                  <c:v>6</c:v>
                </c:pt>
              </c:numCache>
            </c:numRef>
          </c:val>
          <c:extLst xmlns:c16r2="http://schemas.microsoft.com/office/drawing/2015/06/chart">
            <c:ext xmlns:c16="http://schemas.microsoft.com/office/drawing/2014/chart" uri="{C3380CC4-5D6E-409C-BE32-E72D297353CC}">
              <c16:uniqueId val="{00000000-D23D-416B-9131-C495F1429E08}"/>
            </c:ext>
          </c:extLst>
        </c:ser>
        <c:ser>
          <c:idx val="3"/>
          <c:order val="2"/>
          <c:tx>
            <c:strRef>
              <c:f>Sheet1!$A$5</c:f>
              <c:strCache>
                <c:ptCount val="1"/>
                <c:pt idx="0">
                  <c:v>схильність до адиктивної поведінки</c:v>
                </c:pt>
              </c:strCache>
            </c:strRef>
          </c:tx>
          <c:spPr>
            <a:solidFill>
              <a:srgbClr val="00FFFF"/>
            </a:solidFill>
            <a:ln w="12699">
              <a:solidFill>
                <a:srgbClr val="000000"/>
              </a:solidFill>
              <a:prstDash val="solid"/>
            </a:ln>
          </c:spPr>
          <c:dLbls>
            <c:spPr>
              <a:noFill/>
              <a:ln w="25399">
                <a:noFill/>
              </a:ln>
            </c:spPr>
            <c:txPr>
              <a:bodyPr/>
              <a:lstStyle/>
              <a:p>
                <a:pPr>
                  <a:defRPr sz="1000" b="0"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Sheet1!$B$5:$G$5</c:f>
              <c:numCache>
                <c:formatCode>General</c:formatCode>
                <c:ptCount val="6"/>
                <c:pt idx="0">
                  <c:v>0</c:v>
                </c:pt>
                <c:pt idx="1">
                  <c:v>0</c:v>
                </c:pt>
                <c:pt idx="2">
                  <c:v>0</c:v>
                </c:pt>
                <c:pt idx="3">
                  <c:v>5</c:v>
                </c:pt>
                <c:pt idx="4">
                  <c:v>5</c:v>
                </c:pt>
                <c:pt idx="5">
                  <c:v>22</c:v>
                </c:pt>
              </c:numCache>
            </c:numRef>
          </c:val>
          <c:extLst xmlns:c16r2="http://schemas.microsoft.com/office/drawing/2015/06/chart">
            <c:ext xmlns:c16="http://schemas.microsoft.com/office/drawing/2014/chart" uri="{C3380CC4-5D6E-409C-BE32-E72D297353CC}">
              <c16:uniqueId val="{00000001-D23D-416B-9131-C495F1429E08}"/>
            </c:ext>
          </c:extLst>
        </c:ser>
        <c:ser>
          <c:idx val="4"/>
          <c:order val="3"/>
          <c:tx>
            <c:strRef>
              <c:f>Sheet1!$A$6</c:f>
              <c:strCache>
                <c:ptCount val="1"/>
                <c:pt idx="0">
                  <c:v>схильність до самоушкодження</c:v>
                </c:pt>
              </c:strCache>
            </c:strRef>
          </c:tx>
          <c:spPr>
            <a:solidFill>
              <a:srgbClr val="800080"/>
            </a:solidFill>
            <a:ln w="12699">
              <a:solidFill>
                <a:srgbClr val="000000"/>
              </a:solidFill>
              <a:prstDash val="solid"/>
            </a:ln>
          </c:spPr>
          <c:dLbls>
            <c:spPr>
              <a:noFill/>
              <a:ln w="25399">
                <a:noFill/>
              </a:ln>
            </c:spPr>
            <c:txPr>
              <a:bodyPr/>
              <a:lstStyle/>
              <a:p>
                <a:pPr>
                  <a:defRPr sz="1000" b="0"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Sheet1!$B$6:$G$6</c:f>
              <c:numCache>
                <c:formatCode>General</c:formatCode>
                <c:ptCount val="6"/>
                <c:pt idx="0">
                  <c:v>0</c:v>
                </c:pt>
                <c:pt idx="1">
                  <c:v>11</c:v>
                </c:pt>
                <c:pt idx="2">
                  <c:v>5</c:v>
                </c:pt>
                <c:pt idx="3">
                  <c:v>5</c:v>
                </c:pt>
                <c:pt idx="4">
                  <c:v>5</c:v>
                </c:pt>
                <c:pt idx="5">
                  <c:v>33</c:v>
                </c:pt>
              </c:numCache>
            </c:numRef>
          </c:val>
          <c:extLst xmlns:c16r2="http://schemas.microsoft.com/office/drawing/2015/06/chart">
            <c:ext xmlns:c16="http://schemas.microsoft.com/office/drawing/2014/chart" uri="{C3380CC4-5D6E-409C-BE32-E72D297353CC}">
              <c16:uniqueId val="{00000002-D23D-416B-9131-C495F1429E08}"/>
            </c:ext>
          </c:extLst>
        </c:ser>
        <c:ser>
          <c:idx val="5"/>
          <c:order val="4"/>
          <c:tx>
            <c:strRef>
              <c:f>Sheet1!$A$7</c:f>
              <c:strCache>
                <c:ptCount val="1"/>
                <c:pt idx="0">
                  <c:v>схильність до делінквентної поведінки</c:v>
                </c:pt>
              </c:strCache>
            </c:strRef>
          </c:tx>
          <c:spPr>
            <a:solidFill>
              <a:srgbClr val="FF00FF"/>
            </a:solidFill>
            <a:ln w="12699">
              <a:solidFill>
                <a:srgbClr val="000000"/>
              </a:solidFill>
              <a:prstDash val="solid"/>
            </a:ln>
          </c:spPr>
          <c:dLbls>
            <c:spPr>
              <a:noFill/>
              <a:ln w="25399">
                <a:noFill/>
              </a:ln>
            </c:spPr>
            <c:txPr>
              <a:bodyPr/>
              <a:lstStyle/>
              <a:p>
                <a:pPr>
                  <a:defRPr sz="1000" b="0"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Sheet1!$B$7:$G$7</c:f>
              <c:numCache>
                <c:formatCode>General</c:formatCode>
                <c:ptCount val="6"/>
                <c:pt idx="0">
                  <c:v>6</c:v>
                </c:pt>
                <c:pt idx="1">
                  <c:v>0</c:v>
                </c:pt>
                <c:pt idx="2">
                  <c:v>11</c:v>
                </c:pt>
                <c:pt idx="3">
                  <c:v>10</c:v>
                </c:pt>
                <c:pt idx="4">
                  <c:v>0</c:v>
                </c:pt>
                <c:pt idx="5">
                  <c:v>28</c:v>
                </c:pt>
              </c:numCache>
            </c:numRef>
          </c:val>
          <c:extLst xmlns:c16r2="http://schemas.microsoft.com/office/drawing/2015/06/chart">
            <c:ext xmlns:c16="http://schemas.microsoft.com/office/drawing/2014/chart" uri="{C3380CC4-5D6E-409C-BE32-E72D297353CC}">
              <c16:uniqueId val="{00000003-D23D-416B-9131-C495F1429E08}"/>
            </c:ext>
          </c:extLst>
        </c:ser>
        <c:ser>
          <c:idx val="6"/>
          <c:order val="5"/>
          <c:tx>
            <c:strRef>
              <c:f>Sheet1!$A$8</c:f>
              <c:strCache>
                <c:ptCount val="1"/>
                <c:pt idx="0">
                  <c:v>схильність до агресії і насильства</c:v>
                </c:pt>
              </c:strCache>
            </c:strRef>
          </c:tx>
          <c:spPr>
            <a:solidFill>
              <a:srgbClr val="00FF00"/>
            </a:solidFill>
            <a:ln w="12699">
              <a:solidFill>
                <a:srgbClr val="000000"/>
              </a:solidFill>
              <a:prstDash val="solid"/>
            </a:ln>
          </c:spPr>
          <c:dLbls>
            <c:spPr>
              <a:noFill/>
              <a:ln w="25399">
                <a:noFill/>
              </a:ln>
            </c:spPr>
            <c:txPr>
              <a:bodyPr/>
              <a:lstStyle/>
              <a:p>
                <a:pPr>
                  <a:defRPr sz="1000" b="0"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Sheet1!$B$8:$G$8</c:f>
              <c:numCache>
                <c:formatCode>General</c:formatCode>
                <c:ptCount val="6"/>
                <c:pt idx="0">
                  <c:v>6</c:v>
                </c:pt>
                <c:pt idx="1">
                  <c:v>0</c:v>
                </c:pt>
                <c:pt idx="2">
                  <c:v>0</c:v>
                </c:pt>
                <c:pt idx="3">
                  <c:v>0</c:v>
                </c:pt>
                <c:pt idx="4">
                  <c:v>5</c:v>
                </c:pt>
                <c:pt idx="5">
                  <c:v>28</c:v>
                </c:pt>
              </c:numCache>
            </c:numRef>
          </c:val>
          <c:extLst xmlns:c16r2="http://schemas.microsoft.com/office/drawing/2015/06/chart">
            <c:ext xmlns:c16="http://schemas.microsoft.com/office/drawing/2014/chart" uri="{C3380CC4-5D6E-409C-BE32-E72D297353CC}">
              <c16:uniqueId val="{00000004-D23D-416B-9131-C495F1429E08}"/>
            </c:ext>
          </c:extLst>
        </c:ser>
        <c:axId val="83989248"/>
        <c:axId val="83990784"/>
      </c:barChart>
      <c:lineChart>
        <c:grouping val="standard"/>
        <c:ser>
          <c:idx val="0"/>
          <c:order val="0"/>
          <c:tx>
            <c:strRef>
              <c:f>Sheet1!$A$3</c:f>
              <c:strCache>
                <c:ptCount val="1"/>
                <c:pt idx="0">
                  <c:v>Установка на соціально бажані відповіді</c:v>
                </c:pt>
              </c:strCache>
            </c:strRef>
          </c:tx>
          <c:spPr>
            <a:ln w="25399">
              <a:solidFill>
                <a:srgbClr val="000080"/>
              </a:solidFill>
              <a:prstDash val="solid"/>
            </a:ln>
          </c:spPr>
          <c:marker>
            <c:symbol val="diamond"/>
            <c:size val="6"/>
            <c:spPr>
              <a:solidFill>
                <a:srgbClr val="000080"/>
              </a:solidFill>
              <a:ln>
                <a:solidFill>
                  <a:srgbClr val="000080"/>
                </a:solidFill>
                <a:prstDash val="solid"/>
              </a:ln>
            </c:spPr>
          </c:marker>
          <c:cat>
            <c:strRef>
              <c:f>Sheet1!$B$1:$G$1</c:f>
              <c:strCache>
                <c:ptCount val="6"/>
                <c:pt idx="0">
                  <c:v>5 клас</c:v>
                </c:pt>
                <c:pt idx="1">
                  <c:v>6 клас</c:v>
                </c:pt>
                <c:pt idx="2">
                  <c:v>7 клас</c:v>
                </c:pt>
                <c:pt idx="3">
                  <c:v>8 клас</c:v>
                </c:pt>
                <c:pt idx="4">
                  <c:v>9 клас</c:v>
                </c:pt>
                <c:pt idx="5">
                  <c:v>10 клас</c:v>
                </c:pt>
              </c:strCache>
            </c:strRef>
          </c:cat>
          <c:val>
            <c:numRef>
              <c:f>Sheet1!$B$3:$G$3</c:f>
              <c:numCache>
                <c:formatCode>General</c:formatCode>
                <c:ptCount val="6"/>
                <c:pt idx="0">
                  <c:v>95</c:v>
                </c:pt>
                <c:pt idx="1">
                  <c:v>61</c:v>
                </c:pt>
                <c:pt idx="2">
                  <c:v>63</c:v>
                </c:pt>
                <c:pt idx="3">
                  <c:v>55</c:v>
                </c:pt>
                <c:pt idx="4">
                  <c:v>60</c:v>
                </c:pt>
                <c:pt idx="5">
                  <c:v>50</c:v>
                </c:pt>
              </c:numCache>
            </c:numRef>
          </c:val>
          <c:extLst xmlns:c16r2="http://schemas.microsoft.com/office/drawing/2015/06/chart">
            <c:ext xmlns:c16="http://schemas.microsoft.com/office/drawing/2014/chart" uri="{C3380CC4-5D6E-409C-BE32-E72D297353CC}">
              <c16:uniqueId val="{00000005-D23D-416B-9131-C495F1429E08}"/>
            </c:ext>
          </c:extLst>
        </c:ser>
        <c:ser>
          <c:idx val="7"/>
          <c:order val="6"/>
          <c:tx>
            <c:strRef>
              <c:f>Sheet1!$A$9</c:f>
              <c:strCache>
                <c:ptCount val="1"/>
                <c:pt idx="0">
                  <c:v>вольовий контроль</c:v>
                </c:pt>
              </c:strCache>
            </c:strRef>
          </c:tx>
          <c:spPr>
            <a:ln w="25399">
              <a:solidFill>
                <a:srgbClr val="3366FF"/>
              </a:solidFill>
              <a:prstDash val="solid"/>
            </a:ln>
          </c:spPr>
          <c:marker>
            <c:symbol val="dot"/>
            <c:size val="6"/>
            <c:spPr>
              <a:noFill/>
              <a:ln>
                <a:solidFill>
                  <a:srgbClr val="0000FF"/>
                </a:solidFill>
                <a:prstDash val="solid"/>
              </a:ln>
            </c:spPr>
          </c:marker>
          <c:dLbls>
            <c:spPr>
              <a:noFill/>
              <a:ln w="25399">
                <a:noFill/>
              </a:ln>
            </c:spPr>
            <c:txPr>
              <a:bodyPr/>
              <a:lstStyle/>
              <a:p>
                <a:pPr>
                  <a:defRPr sz="1000" b="0"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Sheet1!$B$1:$G$1</c:f>
              <c:strCache>
                <c:ptCount val="6"/>
                <c:pt idx="0">
                  <c:v>5 клас</c:v>
                </c:pt>
                <c:pt idx="1">
                  <c:v>6 клас</c:v>
                </c:pt>
                <c:pt idx="2">
                  <c:v>7 клас</c:v>
                </c:pt>
                <c:pt idx="3">
                  <c:v>8 клас</c:v>
                </c:pt>
                <c:pt idx="4">
                  <c:v>9 клас</c:v>
                </c:pt>
                <c:pt idx="5">
                  <c:v>10 клас</c:v>
                </c:pt>
              </c:strCache>
            </c:strRef>
          </c:cat>
          <c:val>
            <c:numRef>
              <c:f>Sheet1!$B$9:$G$9</c:f>
              <c:numCache>
                <c:formatCode>General</c:formatCode>
                <c:ptCount val="6"/>
                <c:pt idx="0">
                  <c:v>6</c:v>
                </c:pt>
                <c:pt idx="1">
                  <c:v>17</c:v>
                </c:pt>
                <c:pt idx="2">
                  <c:v>5</c:v>
                </c:pt>
                <c:pt idx="3">
                  <c:v>15</c:v>
                </c:pt>
                <c:pt idx="4">
                  <c:v>10</c:v>
                </c:pt>
                <c:pt idx="5">
                  <c:v>22</c:v>
                </c:pt>
              </c:numCache>
            </c:numRef>
          </c:val>
          <c:extLst xmlns:c16r2="http://schemas.microsoft.com/office/drawing/2015/06/chart">
            <c:ext xmlns:c16="http://schemas.microsoft.com/office/drawing/2014/chart" uri="{C3380CC4-5D6E-409C-BE32-E72D297353CC}">
              <c16:uniqueId val="{00000006-D23D-416B-9131-C495F1429E08}"/>
            </c:ext>
          </c:extLst>
        </c:ser>
        <c:marker val="1"/>
        <c:axId val="84000768"/>
        <c:axId val="84002304"/>
      </c:lineChart>
      <c:catAx>
        <c:axId val="83989248"/>
        <c:scaling>
          <c:orientation val="minMax"/>
        </c:scaling>
        <c:axPos val="b"/>
        <c:majorGridlines>
          <c:spPr>
            <a:ln w="3175">
              <a:solidFill>
                <a:srgbClr val="000000"/>
              </a:solidFill>
              <a:prstDash val="solid"/>
            </a:ln>
          </c:spPr>
        </c:majorGridlines>
        <c:numFmt formatCode="General" sourceLinked="1"/>
        <c:majorTickMark val="cross"/>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uk-UA"/>
          </a:p>
        </c:txPr>
        <c:crossAx val="83990784"/>
        <c:crosses val="autoZero"/>
        <c:lblAlgn val="ctr"/>
        <c:lblOffset val="100"/>
        <c:tickLblSkip val="1"/>
        <c:tickMarkSkip val="1"/>
      </c:catAx>
      <c:valAx>
        <c:axId val="83990784"/>
        <c:scaling>
          <c:orientation val="minMax"/>
        </c:scaling>
        <c:axPos val="l"/>
        <c:majorGridlines>
          <c:spPr>
            <a:ln w="3175">
              <a:solidFill>
                <a:srgbClr val="000000"/>
              </a:solidFill>
              <a:prstDash val="solid"/>
            </a:ln>
          </c:spPr>
        </c:majorGridlines>
        <c:numFmt formatCode="General" sourceLinked="1"/>
        <c:majorTickMark val="cross"/>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uk-UA"/>
          </a:p>
        </c:txPr>
        <c:crossAx val="83989248"/>
        <c:crosses val="autoZero"/>
        <c:crossBetween val="between"/>
      </c:valAx>
      <c:catAx>
        <c:axId val="84000768"/>
        <c:scaling>
          <c:orientation val="minMax"/>
        </c:scaling>
        <c:delete val="1"/>
        <c:axPos val="b"/>
        <c:numFmt formatCode="General" sourceLinked="1"/>
        <c:tickLblPos val="none"/>
        <c:crossAx val="84002304"/>
        <c:crosses val="autoZero"/>
        <c:lblAlgn val="ctr"/>
        <c:lblOffset val="100"/>
      </c:catAx>
      <c:valAx>
        <c:axId val="84002304"/>
        <c:scaling>
          <c:orientation val="minMax"/>
        </c:scaling>
        <c:delete val="1"/>
        <c:axPos val="l"/>
        <c:numFmt formatCode="General" sourceLinked="1"/>
        <c:tickLblPos val="none"/>
        <c:crossAx val="84000768"/>
        <c:crosses val="autoZero"/>
        <c:crossBetween val="between"/>
      </c:valAx>
      <c:spPr>
        <a:solidFill>
          <a:srgbClr val="C0C0C0"/>
        </a:solidFill>
        <a:ln w="12699">
          <a:solidFill>
            <a:srgbClr val="808080"/>
          </a:solidFill>
          <a:prstDash val="solid"/>
        </a:ln>
      </c:spPr>
    </c:plotArea>
    <c:legend>
      <c:legendPos val="r"/>
      <c:legendEntry>
        <c:idx val="5"/>
        <c:txPr>
          <a:bodyPr/>
          <a:lstStyle/>
          <a:p>
            <a:pPr>
              <a:defRPr sz="920" b="0" i="1" u="none" strike="noStrike" baseline="0">
                <a:solidFill>
                  <a:srgbClr val="000000"/>
                </a:solidFill>
                <a:latin typeface="Arial"/>
                <a:ea typeface="Arial"/>
                <a:cs typeface="Arial"/>
              </a:defRPr>
            </a:pPr>
            <a:endParaRPr lang="uk-UA"/>
          </a:p>
        </c:txPr>
      </c:legendEntry>
      <c:legendEntry>
        <c:idx val="6"/>
        <c:txPr>
          <a:bodyPr/>
          <a:lstStyle/>
          <a:p>
            <a:pPr>
              <a:defRPr sz="920" b="0" i="1" u="none" strike="noStrike" baseline="0">
                <a:solidFill>
                  <a:srgbClr val="000000"/>
                </a:solidFill>
                <a:latin typeface="Arial"/>
                <a:ea typeface="Arial"/>
                <a:cs typeface="Arial"/>
              </a:defRPr>
            </a:pPr>
            <a:endParaRPr lang="uk-UA"/>
          </a:p>
        </c:txPr>
      </c:legendEntry>
      <c:layout>
        <c:manualLayout>
          <c:xMode val="edge"/>
          <c:yMode val="edge"/>
          <c:x val="0.67492711370262393"/>
          <c:y val="8.5987261146496866E-2"/>
          <c:w val="0.3192419825072888"/>
          <c:h val="0.82802547770700663"/>
        </c:manualLayout>
      </c:layout>
      <c:spPr>
        <a:solidFill>
          <a:srgbClr val="FFFFFF"/>
        </a:solidFill>
        <a:ln w="3175">
          <a:solidFill>
            <a:srgbClr val="000000"/>
          </a:solidFill>
          <a:prstDash val="solid"/>
        </a:ln>
      </c:spPr>
      <c:txPr>
        <a:bodyPr/>
        <a:lstStyle/>
        <a:p>
          <a:pPr>
            <a:defRPr sz="920" b="0" i="1" u="none" strike="noStrike" baseline="0">
              <a:solidFill>
                <a:srgbClr val="000000"/>
              </a:solidFill>
              <a:latin typeface="Arial"/>
              <a:ea typeface="Arial"/>
              <a:cs typeface="Arial"/>
            </a:defRPr>
          </a:pPr>
          <a:endParaRPr lang="uk-UA"/>
        </a:p>
      </c:txPr>
    </c:legend>
    <c:plotVisOnly val="1"/>
    <c:dispBlanksAs val="gap"/>
  </c:chart>
  <c:spPr>
    <a:noFill/>
    <a:ln>
      <a:noFill/>
    </a:ln>
  </c:spPr>
  <c:txPr>
    <a:bodyPr/>
    <a:lstStyle/>
    <a:p>
      <a:pPr>
        <a:defRPr sz="1000" b="0" i="0" u="none" strike="noStrike" baseline="0">
          <a:solidFill>
            <a:srgbClr val="000000"/>
          </a:solidFill>
          <a:latin typeface="Arial"/>
          <a:ea typeface="Arial"/>
          <a:cs typeface="Arial"/>
        </a:defRPr>
      </a:pPr>
      <a:endParaRPr lang="uk-UA"/>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0.3275</cdr:x>
      <cdr:y>0.64975</cdr:y>
    </cdr:from>
    <cdr:to>
      <cdr:x>0.3305</cdr:x>
      <cdr:y>0.6975</cdr:y>
    </cdr:to>
    <cdr:sp macro="" textlink="">
      <cdr:nvSpPr>
        <cdr:cNvPr id="1025" name="Text Box 1"/>
        <cdr:cNvSpPr txBox="1">
          <a:spLocks xmlns:a="http://schemas.openxmlformats.org/drawingml/2006/main" noChangeArrowheads="1"/>
        </cdr:cNvSpPr>
      </cdr:nvSpPr>
      <cdr:spPr bwMode="auto">
        <a:xfrm xmlns:a="http://schemas.openxmlformats.org/drawingml/2006/main">
          <a:off x="2139934" y="1943305"/>
          <a:ext cx="19603" cy="142813"/>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19</Pages>
  <Words>4162</Words>
  <Characters>25077</Characters>
  <Application>Microsoft Office Word</Application>
  <DocSecurity>0</DocSecurity>
  <Lines>617</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2021-10-18T12:20:00Z</dcterms:created>
  <dcterms:modified xsi:type="dcterms:W3CDTF">2022-03-30T08:58:00Z</dcterms:modified>
</cp:coreProperties>
</file>