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92" w:rsidRDefault="009C0C92" w:rsidP="009C0C9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Татулич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І.Ю.</w:t>
      </w:r>
    </w:p>
    <w:p w:rsidR="009C0C92" w:rsidRPr="00CB6F46" w:rsidRDefault="009C0C92" w:rsidP="009C0C9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6F46">
        <w:rPr>
          <w:rFonts w:ascii="Times New Roman" w:hAnsi="Times New Roman" w:cs="Times New Roman"/>
          <w:i/>
          <w:sz w:val="28"/>
          <w:szCs w:val="28"/>
        </w:rPr>
        <w:t>к. ю. н., доц. кафедри правосуддя</w:t>
      </w:r>
    </w:p>
    <w:p w:rsidR="009C0C92" w:rsidRPr="00CB6F46" w:rsidRDefault="009C0C92" w:rsidP="009C0C9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6F46">
        <w:rPr>
          <w:rFonts w:ascii="Times New Roman" w:hAnsi="Times New Roman" w:cs="Times New Roman"/>
          <w:i/>
          <w:sz w:val="28"/>
          <w:szCs w:val="28"/>
        </w:rPr>
        <w:t xml:space="preserve">юридичного факультету </w:t>
      </w:r>
    </w:p>
    <w:p w:rsidR="009C0C92" w:rsidRPr="00CB6F46" w:rsidRDefault="009C0C92" w:rsidP="009C0C9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6F46">
        <w:rPr>
          <w:rFonts w:ascii="Times New Roman" w:hAnsi="Times New Roman" w:cs="Times New Roman"/>
          <w:i/>
          <w:sz w:val="28"/>
          <w:szCs w:val="28"/>
        </w:rPr>
        <w:t>Чернівецького національного університету</w:t>
      </w:r>
    </w:p>
    <w:p w:rsidR="009C0C92" w:rsidRPr="00CB6F46" w:rsidRDefault="009C0C92" w:rsidP="009C0C9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6F46">
        <w:rPr>
          <w:rFonts w:ascii="Times New Roman" w:hAnsi="Times New Roman" w:cs="Times New Roman"/>
          <w:i/>
          <w:sz w:val="28"/>
          <w:szCs w:val="28"/>
        </w:rPr>
        <w:t xml:space="preserve"> імені Юрія </w:t>
      </w:r>
      <w:proofErr w:type="spellStart"/>
      <w:r w:rsidRPr="00CB6F46"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</w:p>
    <w:p w:rsidR="002D5C4B" w:rsidRPr="009C0C92" w:rsidRDefault="00CB6F46" w:rsidP="009C0C9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C92">
        <w:rPr>
          <w:rFonts w:ascii="Times New Roman" w:hAnsi="Times New Roman" w:cs="Times New Roman"/>
          <w:b/>
          <w:sz w:val="32"/>
          <w:szCs w:val="32"/>
        </w:rPr>
        <w:t>НЕПРИПУСТИМІСТЬ ЗЛОВЖИВАННЯ ПРОЦЕСУАЛЬНИМИ ПРАВАМИ – ОДНА ІЗ ЗАСАД ЦИВІЛЬНОГО СУДОЧИНСТВА</w:t>
      </w:r>
    </w:p>
    <w:p w:rsidR="00E115CB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0593">
        <w:rPr>
          <w:rFonts w:ascii="Times New Roman" w:hAnsi="Times New Roman" w:cs="Times New Roman"/>
          <w:sz w:val="28"/>
          <w:szCs w:val="28"/>
        </w:rPr>
        <w:t>Аналізуючи норми діючого цивільного процесуального законодавства, серед новел, викладених у Цивільному процесуальному кодексі (далі – ЦПК України), заслуговує на увагу закріплення в переліку основних засад цивільного судочинства нового принципу – неприпустимість зловживання процесуальними правами. Отже, проблема зловживання процесуальними правами знайшла своє закріплення</w:t>
      </w:r>
      <w:r w:rsidR="00004759">
        <w:rPr>
          <w:rFonts w:ascii="Times New Roman" w:hAnsi="Times New Roman" w:cs="Times New Roman"/>
          <w:sz w:val="28"/>
          <w:szCs w:val="28"/>
        </w:rPr>
        <w:t xml:space="preserve"> в п</w:t>
      </w:r>
      <w:r w:rsidR="00E115CB">
        <w:rPr>
          <w:rFonts w:ascii="Times New Roman" w:hAnsi="Times New Roman" w:cs="Times New Roman"/>
          <w:sz w:val="28"/>
          <w:szCs w:val="28"/>
        </w:rPr>
        <w:t xml:space="preserve">. 11 ч. 2 ст. 2 ЦПК України [1]. </w:t>
      </w:r>
      <w:r w:rsidR="00751335">
        <w:rPr>
          <w:rFonts w:ascii="Times New Roman" w:hAnsi="Times New Roman" w:cs="Times New Roman"/>
          <w:sz w:val="28"/>
          <w:szCs w:val="28"/>
        </w:rPr>
        <w:t>Закріплюючи даний принцип в нормах ЦПК</w:t>
      </w:r>
      <w:r w:rsidR="00004759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751335">
        <w:rPr>
          <w:rFonts w:ascii="Times New Roman" w:hAnsi="Times New Roman" w:cs="Times New Roman"/>
          <w:sz w:val="28"/>
          <w:szCs w:val="28"/>
        </w:rPr>
        <w:t>, законодавець, як і в ряді інших норм, залишає поза увагою понятійний апарат того чи іншого принципу та інституту. На наш погляд, дана норма повинна, перш за все, розкривати визначення поняття «злов</w:t>
      </w:r>
      <w:r w:rsidR="00004759">
        <w:rPr>
          <w:rFonts w:ascii="Times New Roman" w:hAnsi="Times New Roman" w:cs="Times New Roman"/>
          <w:sz w:val="28"/>
          <w:szCs w:val="28"/>
        </w:rPr>
        <w:t>живання процесуальними правами», о</w:t>
      </w:r>
      <w:r w:rsidR="00751335">
        <w:rPr>
          <w:rFonts w:ascii="Times New Roman" w:hAnsi="Times New Roman" w:cs="Times New Roman"/>
          <w:sz w:val="28"/>
          <w:szCs w:val="28"/>
        </w:rPr>
        <w:t>скільки зі змісту ч. 2 ст. 44 ЦПК випливає тільки, що суд визнає зловживання процесуальними правами дії, що суперечать завданню цив</w:t>
      </w:r>
      <w:r w:rsidR="00004759">
        <w:rPr>
          <w:rFonts w:ascii="Times New Roman" w:hAnsi="Times New Roman" w:cs="Times New Roman"/>
          <w:sz w:val="28"/>
          <w:szCs w:val="28"/>
        </w:rPr>
        <w:t xml:space="preserve">ільного судочинства </w:t>
      </w:r>
      <w:r w:rsidR="00751335">
        <w:rPr>
          <w:rFonts w:ascii="Times New Roman" w:hAnsi="Times New Roman" w:cs="Times New Roman"/>
          <w:sz w:val="28"/>
          <w:szCs w:val="28"/>
        </w:rPr>
        <w:t>(ч. 1 ст. 2 ЦПК).</w:t>
      </w:r>
    </w:p>
    <w:p w:rsidR="0001157A" w:rsidRPr="00EB7D86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4759">
        <w:rPr>
          <w:rFonts w:ascii="Times New Roman" w:hAnsi="Times New Roman" w:cs="Times New Roman"/>
          <w:sz w:val="28"/>
          <w:szCs w:val="28"/>
        </w:rPr>
        <w:t xml:space="preserve">У </w:t>
      </w:r>
      <w:r w:rsidR="00603284">
        <w:rPr>
          <w:rFonts w:ascii="Times New Roman" w:hAnsi="Times New Roman" w:cs="Times New Roman"/>
          <w:sz w:val="28"/>
          <w:szCs w:val="28"/>
        </w:rPr>
        <w:t>процесуальному законодавстві перелічуються тільки дії, що можуть вважатися зловживанням процесуальних прав. Однак, у судовій практиці спостерігаються явища бездіяльності або ухилення від виконання своїх прав та обов</w:t>
      </w:r>
      <w:r w:rsidR="00004759">
        <w:rPr>
          <w:rFonts w:ascii="Times New Roman" w:hAnsi="Times New Roman" w:cs="Times New Roman"/>
          <w:sz w:val="28"/>
          <w:szCs w:val="28"/>
        </w:rPr>
        <w:t>'</w:t>
      </w:r>
      <w:r w:rsidR="00603284">
        <w:rPr>
          <w:rFonts w:ascii="Times New Roman" w:hAnsi="Times New Roman" w:cs="Times New Roman"/>
          <w:sz w:val="28"/>
          <w:szCs w:val="28"/>
        </w:rPr>
        <w:t>язків учасниками справи. Наприклад, неявка в судове засідання, неподання доказів, витребуваних судом</w:t>
      </w:r>
      <w:r w:rsidR="0001157A">
        <w:rPr>
          <w:rFonts w:ascii="Times New Roman" w:hAnsi="Times New Roman" w:cs="Times New Roman"/>
          <w:sz w:val="28"/>
          <w:szCs w:val="28"/>
        </w:rPr>
        <w:t>, неповідомлення про третю особу з самості</w:t>
      </w:r>
      <w:r w:rsidR="00004759">
        <w:rPr>
          <w:rFonts w:ascii="Times New Roman" w:hAnsi="Times New Roman" w:cs="Times New Roman"/>
          <w:sz w:val="28"/>
          <w:szCs w:val="28"/>
        </w:rPr>
        <w:t>йними та без самостійних вимог</w:t>
      </w:r>
      <w:r w:rsidR="0001157A">
        <w:rPr>
          <w:rFonts w:ascii="Times New Roman" w:hAnsi="Times New Roman" w:cs="Times New Roman"/>
          <w:sz w:val="28"/>
          <w:szCs w:val="28"/>
        </w:rPr>
        <w:t xml:space="preserve">, відмова надсилати копії документів учасникам справи та повідомляти їх про наявність заяв, клопотань в судах, неповідомлення про зміну </w:t>
      </w:r>
      <w:r w:rsidR="00004759">
        <w:rPr>
          <w:rFonts w:ascii="Times New Roman" w:hAnsi="Times New Roman" w:cs="Times New Roman"/>
          <w:sz w:val="28"/>
          <w:szCs w:val="28"/>
        </w:rPr>
        <w:t xml:space="preserve">своєї </w:t>
      </w:r>
      <w:r w:rsidR="0001157A">
        <w:rPr>
          <w:rFonts w:ascii="Times New Roman" w:hAnsi="Times New Roman" w:cs="Times New Roman"/>
          <w:sz w:val="28"/>
          <w:szCs w:val="28"/>
        </w:rPr>
        <w:t xml:space="preserve">адреси </w:t>
      </w:r>
      <w:r w:rsidR="00004759">
        <w:rPr>
          <w:rFonts w:ascii="Times New Roman" w:hAnsi="Times New Roman" w:cs="Times New Roman"/>
          <w:sz w:val="28"/>
          <w:szCs w:val="28"/>
        </w:rPr>
        <w:t xml:space="preserve">під час провадження у справі </w:t>
      </w:r>
      <w:r w:rsidR="0001157A">
        <w:rPr>
          <w:rFonts w:ascii="Times New Roman" w:hAnsi="Times New Roman" w:cs="Times New Roman"/>
          <w:sz w:val="28"/>
          <w:szCs w:val="28"/>
        </w:rPr>
        <w:t xml:space="preserve">тощо. Проте, вважаємо, що правова категорія «зловживання правами» передбачає, </w:t>
      </w:r>
      <w:r w:rsidR="0001157A">
        <w:rPr>
          <w:rFonts w:ascii="Times New Roman" w:hAnsi="Times New Roman" w:cs="Times New Roman"/>
          <w:sz w:val="28"/>
          <w:szCs w:val="28"/>
        </w:rPr>
        <w:lastRenderedPageBreak/>
        <w:t>насамперед, активні дії учасників справи, що знаходять свій прояв у здійсненні процесуальних дій чи поданні процесуальних документів. Тоді як бездіяльність чи ухилення від виконання обов</w:t>
      </w:r>
      <w:r w:rsidR="00004759">
        <w:rPr>
          <w:rFonts w:ascii="Times New Roman" w:hAnsi="Times New Roman" w:cs="Times New Roman"/>
          <w:sz w:val="28"/>
          <w:szCs w:val="28"/>
        </w:rPr>
        <w:t>'</w:t>
      </w:r>
      <w:r w:rsidR="0001157A">
        <w:rPr>
          <w:rFonts w:ascii="Times New Roman" w:hAnsi="Times New Roman" w:cs="Times New Roman"/>
          <w:sz w:val="28"/>
          <w:szCs w:val="28"/>
        </w:rPr>
        <w:t>язків, що покладаються на</w:t>
      </w:r>
      <w:r w:rsidR="00004759">
        <w:rPr>
          <w:rFonts w:ascii="Times New Roman" w:hAnsi="Times New Roman" w:cs="Times New Roman"/>
          <w:sz w:val="28"/>
          <w:szCs w:val="28"/>
        </w:rPr>
        <w:t xml:space="preserve"> учасників ухвалою суду не можуть </w:t>
      </w:r>
      <w:r w:rsidR="0001157A">
        <w:rPr>
          <w:rFonts w:ascii="Times New Roman" w:hAnsi="Times New Roman" w:cs="Times New Roman"/>
          <w:sz w:val="28"/>
          <w:szCs w:val="28"/>
        </w:rPr>
        <w:t>визнаватись зловживанням процесуальними правами.</w:t>
      </w:r>
      <w:r w:rsidR="00EB7D86">
        <w:rPr>
          <w:rFonts w:ascii="Times New Roman" w:hAnsi="Times New Roman" w:cs="Times New Roman"/>
          <w:sz w:val="28"/>
          <w:szCs w:val="28"/>
        </w:rPr>
        <w:t>Отже, зловживання процесуальними правами – це активні, недобросовісні дії учасників судового процесу, що полягають у порушенні умов здійснення ними процесуальних прав та обов</w:t>
      </w:r>
      <w:r w:rsidR="00EB7D86" w:rsidRPr="00321A01">
        <w:rPr>
          <w:rFonts w:ascii="Times New Roman" w:hAnsi="Times New Roman" w:cs="Times New Roman"/>
          <w:sz w:val="28"/>
          <w:szCs w:val="28"/>
        </w:rPr>
        <w:t>’</w:t>
      </w:r>
      <w:r w:rsidR="00EB7D86">
        <w:rPr>
          <w:rFonts w:ascii="Times New Roman" w:hAnsi="Times New Roman" w:cs="Times New Roman"/>
          <w:sz w:val="28"/>
          <w:szCs w:val="28"/>
        </w:rPr>
        <w:t>язків, перешкоджають діяльності суду щодо справедливого, неупередженого та своєчасного розгляду і вир</w:t>
      </w:r>
      <w:r w:rsidR="00E92314">
        <w:rPr>
          <w:rFonts w:ascii="Times New Roman" w:hAnsi="Times New Roman" w:cs="Times New Roman"/>
          <w:sz w:val="28"/>
          <w:szCs w:val="28"/>
        </w:rPr>
        <w:t xml:space="preserve">ішення цивільних справ, зумовлюють </w:t>
      </w:r>
      <w:r w:rsidR="00EB7D86">
        <w:rPr>
          <w:rFonts w:ascii="Times New Roman" w:hAnsi="Times New Roman" w:cs="Times New Roman"/>
          <w:sz w:val="28"/>
          <w:szCs w:val="28"/>
        </w:rPr>
        <w:t xml:space="preserve">застосування заходів відповідальності, спрямованих на підвищення ефективності цивільного процесу. </w:t>
      </w:r>
    </w:p>
    <w:p w:rsidR="0055127E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157A">
        <w:rPr>
          <w:rFonts w:ascii="Times New Roman" w:hAnsi="Times New Roman" w:cs="Times New Roman"/>
          <w:sz w:val="28"/>
          <w:szCs w:val="28"/>
        </w:rPr>
        <w:t xml:space="preserve">У коментованій нормі (ст. 44 ЦПК України) не визначено вичерпного переліку дій, що можуть розцінюватись як зловживання правами. Підтвердженням цього є п. 1 ч. 2 ст. 44 ЦПК. Виходячи з цього, ці дії кваліфікуються суддею в кожному конкретному випадку </w:t>
      </w:r>
      <w:r w:rsidR="0055127E">
        <w:rPr>
          <w:rFonts w:ascii="Times New Roman" w:hAnsi="Times New Roman" w:cs="Times New Roman"/>
          <w:sz w:val="28"/>
          <w:szCs w:val="28"/>
        </w:rPr>
        <w:t>за їх суб</w:t>
      </w:r>
      <w:r w:rsidR="00004759">
        <w:rPr>
          <w:rFonts w:ascii="Times New Roman" w:hAnsi="Times New Roman" w:cs="Times New Roman"/>
          <w:sz w:val="28"/>
          <w:szCs w:val="28"/>
        </w:rPr>
        <w:t>'</w:t>
      </w:r>
      <w:r w:rsidR="0055127E">
        <w:rPr>
          <w:rFonts w:ascii="Times New Roman" w:hAnsi="Times New Roman" w:cs="Times New Roman"/>
          <w:sz w:val="28"/>
          <w:szCs w:val="28"/>
        </w:rPr>
        <w:t>єктивною чи об</w:t>
      </w:r>
      <w:r w:rsidR="00004759">
        <w:rPr>
          <w:rFonts w:ascii="Times New Roman" w:hAnsi="Times New Roman" w:cs="Times New Roman"/>
          <w:sz w:val="28"/>
          <w:szCs w:val="28"/>
        </w:rPr>
        <w:t>'</w:t>
      </w:r>
      <w:r w:rsidR="0055127E">
        <w:rPr>
          <w:rFonts w:ascii="Times New Roman" w:hAnsi="Times New Roman" w:cs="Times New Roman"/>
          <w:sz w:val="28"/>
          <w:szCs w:val="28"/>
        </w:rPr>
        <w:t xml:space="preserve">єктивною думкою. Однак, це може призвести до певних конфліктів та викликати невдоволення серед учасників процесу, через упереджене ставлення </w:t>
      </w:r>
      <w:r w:rsidR="00004759">
        <w:rPr>
          <w:rFonts w:ascii="Times New Roman" w:hAnsi="Times New Roman" w:cs="Times New Roman"/>
          <w:sz w:val="28"/>
          <w:szCs w:val="28"/>
        </w:rPr>
        <w:t xml:space="preserve">суду </w:t>
      </w:r>
      <w:r w:rsidR="0055127E">
        <w:rPr>
          <w:rFonts w:ascii="Times New Roman" w:hAnsi="Times New Roman" w:cs="Times New Roman"/>
          <w:sz w:val="28"/>
          <w:szCs w:val="28"/>
        </w:rPr>
        <w:t xml:space="preserve">щодо них. Звідси, перелік дій, зазначених в даній нормі має носити вичерпний характер. </w:t>
      </w:r>
    </w:p>
    <w:p w:rsidR="0055127E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127E">
        <w:rPr>
          <w:rFonts w:ascii="Times New Roman" w:hAnsi="Times New Roman" w:cs="Times New Roman"/>
          <w:sz w:val="28"/>
          <w:szCs w:val="28"/>
        </w:rPr>
        <w:t xml:space="preserve">При аналізі дій, що вважатимуться як зловживання процесуальними правами, звертаємо увагу на п. 3 ч. 2 ст. 44 ЦПК України, а саме, </w:t>
      </w:r>
      <w:r w:rsidR="00004759">
        <w:rPr>
          <w:rFonts w:ascii="Times New Roman" w:hAnsi="Times New Roman" w:cs="Times New Roman"/>
          <w:sz w:val="28"/>
          <w:szCs w:val="28"/>
        </w:rPr>
        <w:t xml:space="preserve">подання завідомо безпідставного позову, </w:t>
      </w:r>
      <w:r w:rsidR="00D972E5">
        <w:rPr>
          <w:rFonts w:ascii="Times New Roman" w:hAnsi="Times New Roman" w:cs="Times New Roman"/>
          <w:sz w:val="28"/>
          <w:szCs w:val="28"/>
        </w:rPr>
        <w:t xml:space="preserve">позову за відсутності предмета спору або у спорі, який має очевидно штучний характер. </w:t>
      </w:r>
      <w:r w:rsidR="0055127E">
        <w:rPr>
          <w:rFonts w:ascii="Times New Roman" w:hAnsi="Times New Roman" w:cs="Times New Roman"/>
          <w:sz w:val="28"/>
          <w:szCs w:val="28"/>
        </w:rPr>
        <w:t>Залишається відкритим питання: які критерії буде брати за основу суд, щоб розцінювати такі дії як зловживання правами? Адже, щоб вивчити той чи інший процесуальний документ (позов, заяву, скаргу, клопотання)</w:t>
      </w:r>
      <w:r w:rsidR="00D972E5">
        <w:rPr>
          <w:rFonts w:ascii="Times New Roman" w:hAnsi="Times New Roman" w:cs="Times New Roman"/>
          <w:sz w:val="28"/>
          <w:szCs w:val="28"/>
        </w:rPr>
        <w:t>,</w:t>
      </w:r>
      <w:r w:rsidR="0055127E">
        <w:rPr>
          <w:rFonts w:ascii="Times New Roman" w:hAnsi="Times New Roman" w:cs="Times New Roman"/>
          <w:sz w:val="28"/>
          <w:szCs w:val="28"/>
        </w:rPr>
        <w:t xml:space="preserve"> суд має розглянути справу, дослідити матеріали справи в сукупності, повно, всебічно, об</w:t>
      </w:r>
      <w:r w:rsidR="00D972E5">
        <w:rPr>
          <w:rFonts w:ascii="Times New Roman" w:hAnsi="Times New Roman" w:cs="Times New Roman"/>
          <w:sz w:val="28"/>
          <w:szCs w:val="28"/>
        </w:rPr>
        <w:t>'</w:t>
      </w:r>
      <w:r w:rsidR="0055127E">
        <w:rPr>
          <w:rFonts w:ascii="Times New Roman" w:hAnsi="Times New Roman" w:cs="Times New Roman"/>
          <w:sz w:val="28"/>
          <w:szCs w:val="28"/>
        </w:rPr>
        <w:t xml:space="preserve">єктивно; оцінити докази за своїм внутрішнім переконанням. </w:t>
      </w:r>
      <w:r w:rsidR="00F81B91">
        <w:rPr>
          <w:rFonts w:ascii="Times New Roman" w:hAnsi="Times New Roman" w:cs="Times New Roman"/>
          <w:sz w:val="28"/>
          <w:szCs w:val="28"/>
        </w:rPr>
        <w:t>О</w:t>
      </w:r>
      <w:r w:rsidR="0055127E">
        <w:rPr>
          <w:rFonts w:ascii="Times New Roman" w:hAnsi="Times New Roman" w:cs="Times New Roman"/>
          <w:sz w:val="28"/>
          <w:szCs w:val="28"/>
        </w:rPr>
        <w:t>цінку таку</w:t>
      </w:r>
      <w:r w:rsidR="00F81B91">
        <w:rPr>
          <w:rFonts w:ascii="Times New Roman" w:hAnsi="Times New Roman" w:cs="Times New Roman"/>
          <w:sz w:val="28"/>
          <w:szCs w:val="28"/>
        </w:rPr>
        <w:t xml:space="preserve">, як відомо, </w:t>
      </w:r>
      <w:r w:rsidR="0055127E">
        <w:rPr>
          <w:rFonts w:ascii="Times New Roman" w:hAnsi="Times New Roman" w:cs="Times New Roman"/>
          <w:sz w:val="28"/>
          <w:szCs w:val="28"/>
        </w:rPr>
        <w:t xml:space="preserve"> с</w:t>
      </w:r>
      <w:r w:rsidR="00F81B91">
        <w:rPr>
          <w:rFonts w:ascii="Times New Roman" w:hAnsi="Times New Roman" w:cs="Times New Roman"/>
          <w:sz w:val="28"/>
          <w:szCs w:val="28"/>
        </w:rPr>
        <w:t>уд здійснює</w:t>
      </w:r>
      <w:r w:rsidR="005512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81B91">
        <w:rPr>
          <w:rFonts w:ascii="Times New Roman" w:hAnsi="Times New Roman" w:cs="Times New Roman"/>
          <w:sz w:val="28"/>
          <w:szCs w:val="28"/>
        </w:rPr>
        <w:t>нарадчій</w:t>
      </w:r>
      <w:proofErr w:type="spellEnd"/>
      <w:r w:rsidR="00F81B91">
        <w:rPr>
          <w:rFonts w:ascii="Times New Roman" w:hAnsi="Times New Roman" w:cs="Times New Roman"/>
          <w:sz w:val="28"/>
          <w:szCs w:val="28"/>
        </w:rPr>
        <w:t xml:space="preserve"> кімнаті. Зрозуміло, що така можливість на першій стадії при відкритті провадження у справі відсутня. Тоді як саме це положення буде реалізуватись на практиці? Чи не призведе це до зловживань правами з боку суду? Чи не будуть у зв</w:t>
      </w:r>
      <w:r w:rsidR="00D972E5">
        <w:rPr>
          <w:rFonts w:ascii="Times New Roman" w:hAnsi="Times New Roman" w:cs="Times New Roman"/>
          <w:sz w:val="28"/>
          <w:szCs w:val="28"/>
        </w:rPr>
        <w:t>'</w:t>
      </w:r>
      <w:r w:rsidR="00F81B91">
        <w:rPr>
          <w:rFonts w:ascii="Times New Roman" w:hAnsi="Times New Roman" w:cs="Times New Roman"/>
          <w:sz w:val="28"/>
          <w:szCs w:val="28"/>
        </w:rPr>
        <w:t xml:space="preserve">язку з </w:t>
      </w:r>
      <w:r w:rsidR="00F81B91">
        <w:rPr>
          <w:rFonts w:ascii="Times New Roman" w:hAnsi="Times New Roman" w:cs="Times New Roman"/>
          <w:sz w:val="28"/>
          <w:szCs w:val="28"/>
        </w:rPr>
        <w:lastRenderedPageBreak/>
        <w:t>цим порушуватись інші принципи цивільного судочинства, враховуючи їх взаємозв</w:t>
      </w:r>
      <w:r w:rsidR="00D972E5">
        <w:rPr>
          <w:rFonts w:ascii="Times New Roman" w:hAnsi="Times New Roman" w:cs="Times New Roman"/>
          <w:sz w:val="28"/>
          <w:szCs w:val="28"/>
        </w:rPr>
        <w:t>'</w:t>
      </w:r>
      <w:r w:rsidR="00F81B91">
        <w:rPr>
          <w:rFonts w:ascii="Times New Roman" w:hAnsi="Times New Roman" w:cs="Times New Roman"/>
          <w:sz w:val="28"/>
          <w:szCs w:val="28"/>
        </w:rPr>
        <w:t xml:space="preserve">язок та взаємозалежність. Наприклад, принцип незалежності суддів і підкорення їх виключно законові та ін. </w:t>
      </w:r>
    </w:p>
    <w:p w:rsidR="006C498B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1B91">
        <w:rPr>
          <w:rFonts w:ascii="Times New Roman" w:hAnsi="Times New Roman" w:cs="Times New Roman"/>
          <w:sz w:val="28"/>
          <w:szCs w:val="28"/>
        </w:rPr>
        <w:t xml:space="preserve">Більше того, зі змісту як п. 1 ч. 2, так і п. 3 ч. 2 ст. 44 ЦПК України випливає наступне запитання: чи не будуть вказані норми обмежувати гарантоване Конституцією України </w:t>
      </w:r>
      <w:r w:rsidR="00D972E5">
        <w:rPr>
          <w:rFonts w:ascii="Times New Roman" w:hAnsi="Times New Roman" w:cs="Times New Roman"/>
          <w:sz w:val="28"/>
          <w:szCs w:val="28"/>
        </w:rPr>
        <w:t xml:space="preserve">(ст. 55) та Конвенцією про захист прав людини і основоположних свобод (ст. 6) </w:t>
      </w:r>
      <w:r w:rsidR="00F81B91">
        <w:rPr>
          <w:rFonts w:ascii="Times New Roman" w:hAnsi="Times New Roman" w:cs="Times New Roman"/>
          <w:sz w:val="28"/>
          <w:szCs w:val="28"/>
        </w:rPr>
        <w:t>право</w:t>
      </w:r>
      <w:r w:rsidR="001C7630">
        <w:rPr>
          <w:rFonts w:ascii="Times New Roman" w:hAnsi="Times New Roman" w:cs="Times New Roman"/>
          <w:sz w:val="28"/>
          <w:szCs w:val="28"/>
        </w:rPr>
        <w:t xml:space="preserve"> особи на судовий захист? </w:t>
      </w:r>
      <w:r w:rsidR="00D972E5">
        <w:rPr>
          <w:rFonts w:ascii="Times New Roman" w:hAnsi="Times New Roman" w:cs="Times New Roman"/>
          <w:sz w:val="28"/>
          <w:szCs w:val="28"/>
        </w:rPr>
        <w:t xml:space="preserve">Адже судовий захист – найвища гарантія </w:t>
      </w:r>
      <w:r w:rsidR="006C498B">
        <w:rPr>
          <w:rFonts w:ascii="Times New Roman" w:hAnsi="Times New Roman" w:cs="Times New Roman"/>
          <w:sz w:val="28"/>
          <w:szCs w:val="28"/>
        </w:rPr>
        <w:t>забезпечення прав і свобод громадян та юридичних осіб, здійснюється за допомогою правосуддя як форми реалізації судової влади [2, с. 9].</w:t>
      </w:r>
    </w:p>
    <w:p w:rsidR="00E37B62" w:rsidRPr="006C498B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7630">
        <w:rPr>
          <w:rFonts w:ascii="Times New Roman" w:hAnsi="Times New Roman" w:cs="Times New Roman"/>
          <w:sz w:val="28"/>
          <w:szCs w:val="28"/>
        </w:rPr>
        <w:t xml:space="preserve">Також аналіз вказаної норми (ч. 3 ст. 44 ЦПК) дозволяє виокремити два види відповідальності до учасників, які зловживають процесуальними правами: </w:t>
      </w:r>
      <w:r w:rsidR="005B01D6" w:rsidRPr="006C498B">
        <w:rPr>
          <w:rFonts w:ascii="Times New Roman" w:hAnsi="Times New Roman" w:cs="Times New Roman"/>
          <w:sz w:val="28"/>
          <w:szCs w:val="28"/>
        </w:rPr>
        <w:t>з</w:t>
      </w:r>
      <w:r w:rsidR="001C7630" w:rsidRPr="006C498B">
        <w:rPr>
          <w:rFonts w:ascii="Times New Roman" w:hAnsi="Times New Roman" w:cs="Times New Roman"/>
          <w:sz w:val="28"/>
          <w:szCs w:val="28"/>
        </w:rPr>
        <w:t xml:space="preserve">алишення </w:t>
      </w:r>
      <w:r w:rsidR="005B01D6" w:rsidRPr="006C498B">
        <w:rPr>
          <w:rFonts w:ascii="Times New Roman" w:hAnsi="Times New Roman" w:cs="Times New Roman"/>
          <w:sz w:val="28"/>
          <w:szCs w:val="28"/>
        </w:rPr>
        <w:t>скарги, заяви, клопотання без розгляду</w:t>
      </w:r>
      <w:r w:rsidR="006C498B">
        <w:rPr>
          <w:rFonts w:ascii="Times New Roman" w:hAnsi="Times New Roman" w:cs="Times New Roman"/>
          <w:sz w:val="28"/>
          <w:szCs w:val="28"/>
        </w:rPr>
        <w:t xml:space="preserve"> та </w:t>
      </w:r>
      <w:r w:rsidR="005B01D6" w:rsidRPr="006C498B">
        <w:rPr>
          <w:rFonts w:ascii="Times New Roman" w:hAnsi="Times New Roman" w:cs="Times New Roman"/>
          <w:sz w:val="28"/>
          <w:szCs w:val="28"/>
        </w:rPr>
        <w:t xml:space="preserve">повернення скарги, заяви, клопотання. </w:t>
      </w:r>
      <w:r w:rsidR="005B01D6" w:rsidRPr="005B01D6">
        <w:rPr>
          <w:rFonts w:ascii="Times New Roman" w:hAnsi="Times New Roman" w:cs="Times New Roman"/>
          <w:sz w:val="28"/>
          <w:szCs w:val="28"/>
        </w:rPr>
        <w:t>Проте,</w:t>
      </w:r>
      <w:r w:rsidR="005B01D6">
        <w:rPr>
          <w:rFonts w:ascii="Times New Roman" w:hAnsi="Times New Roman" w:cs="Times New Roman"/>
          <w:sz w:val="28"/>
          <w:szCs w:val="28"/>
        </w:rPr>
        <w:t xml:space="preserve"> і перший, і другий вид відповідальності не позбавляє особу права на повторне звернення до суду, гарантуючи при цьому доступ до правосуддя. Окрім зазначених вище видів відповідальності у змісті інших норм закріплені наступні заходи впливу:</w:t>
      </w:r>
      <w:r w:rsidR="005B01D6" w:rsidRPr="006C498B">
        <w:rPr>
          <w:rFonts w:ascii="Times New Roman" w:hAnsi="Times New Roman" w:cs="Times New Roman"/>
          <w:sz w:val="28"/>
          <w:szCs w:val="28"/>
        </w:rPr>
        <w:t>забезпечення судових витрат (розділ 1, глава 8 ЦПК України)</w:t>
      </w:r>
      <w:r w:rsidR="006C498B">
        <w:rPr>
          <w:rFonts w:ascii="Times New Roman" w:hAnsi="Times New Roman" w:cs="Times New Roman"/>
          <w:sz w:val="28"/>
          <w:szCs w:val="28"/>
        </w:rPr>
        <w:t xml:space="preserve">; </w:t>
      </w:r>
      <w:r w:rsidR="005B01D6" w:rsidRPr="006C498B">
        <w:rPr>
          <w:rFonts w:ascii="Times New Roman" w:hAnsi="Times New Roman" w:cs="Times New Roman"/>
          <w:sz w:val="28"/>
          <w:szCs w:val="28"/>
        </w:rPr>
        <w:t>застосування заходів процесуальног</w:t>
      </w:r>
      <w:r w:rsidR="006C498B">
        <w:rPr>
          <w:rFonts w:ascii="Times New Roman" w:hAnsi="Times New Roman" w:cs="Times New Roman"/>
          <w:sz w:val="28"/>
          <w:szCs w:val="28"/>
        </w:rPr>
        <w:t>о примусу (розділ 1, глава 9 ЦПК</w:t>
      </w:r>
      <w:r w:rsidR="005B01D6" w:rsidRPr="006C498B">
        <w:rPr>
          <w:rFonts w:ascii="Times New Roman" w:hAnsi="Times New Roman" w:cs="Times New Roman"/>
          <w:sz w:val="28"/>
          <w:szCs w:val="28"/>
        </w:rPr>
        <w:t xml:space="preserve"> України)</w:t>
      </w:r>
      <w:r w:rsidR="006C498B">
        <w:rPr>
          <w:rFonts w:ascii="Times New Roman" w:hAnsi="Times New Roman" w:cs="Times New Roman"/>
          <w:sz w:val="28"/>
          <w:szCs w:val="28"/>
        </w:rPr>
        <w:t xml:space="preserve">; </w:t>
      </w:r>
      <w:r w:rsidR="005B01D6" w:rsidRPr="006C498B">
        <w:rPr>
          <w:rFonts w:ascii="Times New Roman" w:hAnsi="Times New Roman" w:cs="Times New Roman"/>
          <w:sz w:val="28"/>
          <w:szCs w:val="28"/>
        </w:rPr>
        <w:t xml:space="preserve">постановлення суддею окремої ухвали (розділ 3, глава 9 ЦПК України).   </w:t>
      </w:r>
    </w:p>
    <w:p w:rsidR="00751335" w:rsidRDefault="00321A01" w:rsidP="00CE79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7B62">
        <w:rPr>
          <w:rFonts w:ascii="Times New Roman" w:hAnsi="Times New Roman" w:cs="Times New Roman"/>
          <w:sz w:val="28"/>
          <w:szCs w:val="28"/>
        </w:rPr>
        <w:t>Закріплення в нормах процесуального законодавства видів відповідальності надасть можливість суддям законно впливати на поведі</w:t>
      </w:r>
      <w:r w:rsidR="006C498B">
        <w:rPr>
          <w:rFonts w:ascii="Times New Roman" w:hAnsi="Times New Roman" w:cs="Times New Roman"/>
          <w:sz w:val="28"/>
          <w:szCs w:val="28"/>
        </w:rPr>
        <w:t xml:space="preserve">нку учасників судового процесу; </w:t>
      </w:r>
      <w:r w:rsidR="00E37B62">
        <w:rPr>
          <w:rFonts w:ascii="Times New Roman" w:hAnsi="Times New Roman" w:cs="Times New Roman"/>
          <w:sz w:val="28"/>
          <w:szCs w:val="28"/>
        </w:rPr>
        <w:t>дисциплінуватиме останніх щодо добросовісного користування ними своїми правами та обов</w:t>
      </w:r>
      <w:r w:rsidR="006C498B">
        <w:rPr>
          <w:rFonts w:ascii="Times New Roman" w:hAnsi="Times New Roman" w:cs="Times New Roman"/>
          <w:sz w:val="28"/>
          <w:szCs w:val="28"/>
        </w:rPr>
        <w:t>'</w:t>
      </w:r>
      <w:r w:rsidR="00E37B62">
        <w:rPr>
          <w:rFonts w:ascii="Times New Roman" w:hAnsi="Times New Roman" w:cs="Times New Roman"/>
          <w:sz w:val="28"/>
          <w:szCs w:val="28"/>
        </w:rPr>
        <w:t xml:space="preserve">язками; сприятиме дотриманню строків розгляду справи та права особи на своєчасний судовий розгляд; забезпечить виконання завдань цивільного судочинства, а в майбутньому призведе до ухвалення законного і </w:t>
      </w:r>
      <w:r w:rsidR="006C498B">
        <w:rPr>
          <w:rFonts w:ascii="Times New Roman" w:hAnsi="Times New Roman" w:cs="Times New Roman"/>
          <w:sz w:val="28"/>
          <w:szCs w:val="28"/>
        </w:rPr>
        <w:t>обґрунтованого</w:t>
      </w:r>
      <w:r w:rsidR="00E37B62">
        <w:rPr>
          <w:rFonts w:ascii="Times New Roman" w:hAnsi="Times New Roman" w:cs="Times New Roman"/>
          <w:sz w:val="28"/>
          <w:szCs w:val="28"/>
        </w:rPr>
        <w:t xml:space="preserve"> рішення.</w:t>
      </w:r>
    </w:p>
    <w:p w:rsidR="00E37B62" w:rsidRDefault="00321A01" w:rsidP="006C4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7B62">
        <w:rPr>
          <w:rFonts w:ascii="Times New Roman" w:hAnsi="Times New Roman" w:cs="Times New Roman"/>
          <w:sz w:val="28"/>
          <w:szCs w:val="28"/>
        </w:rPr>
        <w:t>Щодо виявлених нами неузгодженостей</w:t>
      </w:r>
      <w:r w:rsidR="006C498B">
        <w:rPr>
          <w:rFonts w:ascii="Times New Roman" w:hAnsi="Times New Roman" w:cs="Times New Roman"/>
          <w:sz w:val="28"/>
          <w:szCs w:val="28"/>
        </w:rPr>
        <w:t>, притаманних принципу неприпустимості зловживання процесуальними правами</w:t>
      </w:r>
      <w:r w:rsidR="00E37B62">
        <w:rPr>
          <w:rFonts w:ascii="Times New Roman" w:hAnsi="Times New Roman" w:cs="Times New Roman"/>
          <w:sz w:val="28"/>
          <w:szCs w:val="28"/>
        </w:rPr>
        <w:t>, то вони пояснюються</w:t>
      </w:r>
      <w:r w:rsidR="006C498B">
        <w:rPr>
          <w:rFonts w:ascii="Times New Roman" w:hAnsi="Times New Roman" w:cs="Times New Roman"/>
          <w:sz w:val="28"/>
          <w:szCs w:val="28"/>
        </w:rPr>
        <w:t>, насамперед,</w:t>
      </w:r>
      <w:r w:rsidR="00E37B62">
        <w:rPr>
          <w:rFonts w:ascii="Times New Roman" w:hAnsi="Times New Roman" w:cs="Times New Roman"/>
          <w:sz w:val="28"/>
          <w:szCs w:val="28"/>
        </w:rPr>
        <w:t xml:space="preserve"> новизною даного поняття, відсутністю наукових досліджень та </w:t>
      </w:r>
      <w:r w:rsidR="006C498B">
        <w:rPr>
          <w:rFonts w:ascii="Times New Roman" w:hAnsi="Times New Roman" w:cs="Times New Roman"/>
          <w:sz w:val="28"/>
          <w:szCs w:val="28"/>
        </w:rPr>
        <w:lastRenderedPageBreak/>
        <w:t xml:space="preserve">судової практики застосування. </w:t>
      </w:r>
      <w:proofErr w:type="spellStart"/>
      <w:r w:rsidR="006C498B">
        <w:rPr>
          <w:rFonts w:ascii="Times New Roman" w:hAnsi="Times New Roman" w:cs="Times New Roman"/>
          <w:sz w:val="28"/>
          <w:szCs w:val="28"/>
        </w:rPr>
        <w:t>В</w:t>
      </w:r>
      <w:r w:rsidR="00E37B62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E37B62">
        <w:rPr>
          <w:rFonts w:ascii="Times New Roman" w:hAnsi="Times New Roman" w:cs="Times New Roman"/>
          <w:sz w:val="28"/>
          <w:szCs w:val="28"/>
        </w:rPr>
        <w:t xml:space="preserve">, запровадження законодавцем в процесуальне законодавство даного принципу є позитивним кроком на шляху удосконалення процесу здійснення  судочинства, підвищення його ефективності та гармонізації з європейськими стандартами. </w:t>
      </w:r>
    </w:p>
    <w:p w:rsidR="006C498B" w:rsidRPr="00321A01" w:rsidRDefault="00321A01" w:rsidP="006C49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C498B" w:rsidRPr="00321A01">
        <w:rPr>
          <w:rFonts w:ascii="Times New Roman" w:hAnsi="Times New Roman" w:cs="Times New Roman"/>
          <w:b/>
          <w:sz w:val="28"/>
          <w:szCs w:val="28"/>
        </w:rPr>
        <w:t>Використана література:</w:t>
      </w:r>
    </w:p>
    <w:p w:rsidR="006C498B" w:rsidRDefault="006C498B" w:rsidP="006C498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CB6F46">
        <w:rPr>
          <w:rFonts w:ascii="Times New Roman" w:hAnsi="Times New Roman" w:cs="Times New Roman"/>
          <w:sz w:val="28"/>
          <w:szCs w:val="28"/>
        </w:rPr>
        <w:t xml:space="preserve">ивільний процесуальний кодекс України: чинне законодавство зі змінами та </w:t>
      </w:r>
      <w:proofErr w:type="spellStart"/>
      <w:r w:rsidR="00CB6F46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="00CB6F46">
        <w:rPr>
          <w:rFonts w:ascii="Times New Roman" w:hAnsi="Times New Roman" w:cs="Times New Roman"/>
          <w:sz w:val="28"/>
          <w:szCs w:val="28"/>
        </w:rPr>
        <w:t xml:space="preserve">. станом на 1 березня 2018 р. : (ОФІЦ. ТЕКСТ). – К.: ПАЛИВОДА А. В., 2018. – 268 с.  </w:t>
      </w:r>
    </w:p>
    <w:p w:rsidR="006C498B" w:rsidRPr="006C498B" w:rsidRDefault="006C498B" w:rsidP="006C498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Цивільний процес: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здобувачів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освіти / [К.В.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Жушман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С.О. Кравцов та ін.]. – Х.: Право, 2017. – 234 с. </w:t>
      </w:r>
    </w:p>
    <w:sectPr w:rsidR="006C498B" w:rsidRPr="006C498B" w:rsidSect="00CE79C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A459C"/>
    <w:multiLevelType w:val="hybridMultilevel"/>
    <w:tmpl w:val="77A2F7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72079"/>
    <w:multiLevelType w:val="hybridMultilevel"/>
    <w:tmpl w:val="2EE8F07A"/>
    <w:lvl w:ilvl="0" w:tplc="E39459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F10593"/>
    <w:rsid w:val="00004759"/>
    <w:rsid w:val="0001157A"/>
    <w:rsid w:val="001C7630"/>
    <w:rsid w:val="00293D11"/>
    <w:rsid w:val="002D5C4B"/>
    <w:rsid w:val="00321A01"/>
    <w:rsid w:val="0055127E"/>
    <w:rsid w:val="005B01D6"/>
    <w:rsid w:val="00603284"/>
    <w:rsid w:val="00634828"/>
    <w:rsid w:val="006732EE"/>
    <w:rsid w:val="006C498B"/>
    <w:rsid w:val="00751335"/>
    <w:rsid w:val="0081196A"/>
    <w:rsid w:val="009C0C92"/>
    <w:rsid w:val="009D5F84"/>
    <w:rsid w:val="00AC5497"/>
    <w:rsid w:val="00CB6F46"/>
    <w:rsid w:val="00CE79CF"/>
    <w:rsid w:val="00D972E5"/>
    <w:rsid w:val="00DE3E21"/>
    <w:rsid w:val="00E115CB"/>
    <w:rsid w:val="00E37B62"/>
    <w:rsid w:val="00E92314"/>
    <w:rsid w:val="00EB7D86"/>
    <w:rsid w:val="00F00A04"/>
    <w:rsid w:val="00F10593"/>
    <w:rsid w:val="00F81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2018-04-13T11:33:00Z</dcterms:created>
  <dcterms:modified xsi:type="dcterms:W3CDTF">2021-12-22T17:38:00Z</dcterms:modified>
</cp:coreProperties>
</file>