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10E" w:rsidRPr="00E9310E" w:rsidRDefault="00E9310E" w:rsidP="00E931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</w:t>
      </w:r>
      <w:proofErr w:type="spellStart"/>
      <w:r w:rsidRPr="00E931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Томусяк</w:t>
      </w:r>
      <w:proofErr w:type="spellEnd"/>
      <w:r w:rsidRPr="00E931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Людмила Миколаївна,</w:t>
      </w:r>
    </w:p>
    <w:p w:rsidR="00E9310E" w:rsidRPr="00E9310E" w:rsidRDefault="00E9310E" w:rsidP="00E9310E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   кандидат філологічних наук,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доцент</w:t>
      </w:r>
    </w:p>
    <w:p w:rsidR="00E9310E" w:rsidRPr="00E9310E" w:rsidRDefault="00E9310E" w:rsidP="00E9310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                                               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Чернівецький національний університет </w:t>
      </w:r>
    </w:p>
    <w:p w:rsidR="00E9310E" w:rsidRPr="00E9310E" w:rsidRDefault="00E9310E" w:rsidP="00E9310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                                                     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імені Юрія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Федьковича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м.Чернівці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 Україна)</w:t>
      </w:r>
    </w:p>
    <w:p w:rsidR="00E9310E" w:rsidRPr="00E9310E" w:rsidRDefault="00E9310E" w:rsidP="00E9310E">
      <w:pPr>
        <w:widowControl w:val="0"/>
        <w:spacing w:after="0" w:line="358" w:lineRule="auto"/>
        <w:ind w:firstLine="708"/>
        <w:jc w:val="center"/>
        <w:rPr>
          <w:rFonts w:ascii="Times New Roman" w:eastAsia="Times New Roman" w:hAnsi="Times New Roman" w:cs="Times New Roman"/>
          <w:b/>
          <w:spacing w:val="1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pacing w:val="10"/>
          <w:sz w:val="28"/>
          <w:szCs w:val="28"/>
          <w:lang w:val="uk-UA" w:eastAsia="uk-UA"/>
        </w:rPr>
        <w:t>АТРИБУТИВНІ КОМПОНЕНТИ З СИНКРЕТИЧНИМ ЗНАЧЕННЯМ</w:t>
      </w:r>
    </w:p>
    <w:p w:rsidR="00B1489D" w:rsidRPr="00E9310E" w:rsidRDefault="002C134C" w:rsidP="00B1489D">
      <w:pPr>
        <w:widowControl w:val="0"/>
        <w:spacing w:after="0" w:line="358" w:lineRule="auto"/>
        <w:ind w:firstLine="708"/>
        <w:jc w:val="both"/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</w:pPr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Т</w:t>
      </w:r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ермін синкретизм (від грецького </w:t>
      </w:r>
      <w:proofErr w:type="spellStart"/>
      <w:r w:rsidR="00B1489D" w:rsidRPr="00E9310E">
        <w:rPr>
          <w:rFonts w:ascii="Times New Roman" w:eastAsia="Times New Roman" w:hAnsi="Times New Roman" w:cs="Times New Roman"/>
          <w:i/>
          <w:spacing w:val="10"/>
          <w:sz w:val="28"/>
          <w:szCs w:val="20"/>
          <w:lang w:val="uk-UA" w:eastAsia="uk-UA"/>
        </w:rPr>
        <w:t>syncretismos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– поєднання) вживають у різних науках гуманітарного циклу: філософії, літературознавстві, психології, лінгвістиці та ін. У лінгвістиці синкретизм використовують на позначення: 1) формального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нерозрізнення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, злиття в одній формі різнорідних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мовних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елементів (відмінковий синкретизм або синкретизм різних граматичних категорій); 2) поєднання (синтезу) диференційних структурних і семантичних ознак одиниць мови (певних розрядів слів, значень, речень, членів речень тощо), що протиставлені одна одній в системі мови і пов'язані явищами перехідності. Це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нерівнорядні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гібридні (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контамінаційні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, проміжні, дифузні) утворення. У вітчизняному мовознавстві синкретизм найчастіше вживають у другому значенні (див. праці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І.Вихованця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,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А.Загнітка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,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К.Городенської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,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Н.Гуйванюк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,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О.Кульбабської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,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І.Данилюка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,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Ю.Наливайко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,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В.Бабайцевої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, </w:t>
      </w:r>
      <w:proofErr w:type="spellStart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Л.Чеснокової</w:t>
      </w:r>
      <w:proofErr w:type="spellEnd"/>
      <w:r w:rsidR="00B1489D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та ін.). </w:t>
      </w:r>
    </w:p>
    <w:p w:rsidR="00B1489D" w:rsidRPr="00E9310E" w:rsidRDefault="00B1489D" w:rsidP="00B1489D">
      <w:pPr>
        <w:widowControl w:val="0"/>
        <w:spacing w:after="0" w:line="358" w:lineRule="auto"/>
        <w:ind w:firstLine="708"/>
        <w:jc w:val="both"/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</w:pPr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Найширше синкретизм представлений у синтаксисі, який виступає тим полем, де чи не найактивніше відбуваються зміни усталених нормативних положень, характеризується тенденцією до вивчення перехідних структур, визначення статусу яких дозволяє визначити природу проміжних явищ у сфері вищого рівня мови.</w:t>
      </w:r>
    </w:p>
    <w:p w:rsidR="002C134C" w:rsidRPr="00E9310E" w:rsidRDefault="00B1489D" w:rsidP="00B1489D">
      <w:pPr>
        <w:widowControl w:val="0"/>
        <w:spacing w:after="0" w:line="358" w:lineRule="auto"/>
        <w:ind w:firstLine="708"/>
        <w:jc w:val="both"/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</w:pPr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Незважаючи на наявність великої кількості праць, присвячених аналізу синкретизму в лінгвістиці, низка питань і на сьогодні залишається нез’ясованою. До таких невисвітлених проблем належить питання синкретичних семантичних відношень у конструкціях з </w:t>
      </w:r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неузгодженими означеннями, а також </w:t>
      </w:r>
      <w:proofErr w:type="spellStart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дуплексивами</w:t>
      </w:r>
      <w:proofErr w:type="spellEnd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(</w:t>
      </w:r>
      <w:proofErr w:type="spellStart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дуплексиви</w:t>
      </w:r>
      <w:proofErr w:type="spellEnd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у нашому тлумаченні – </w:t>
      </w:r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lastRenderedPageBreak/>
        <w:t>це окремі неприслівні поширювачі речення, що залежать одночасно від імені (підмета чи прямого об’єктного поширювача) й дієслова (присудка) і пов’язані з ними двобічним синтаксичним зв’язком – тяжінням; у семантико-синтаксичній структурі речення вони є вторинними предикатними синтаксемами, що ускладнюють просте речення, виступають репрезентантами згорнутої реченнєвої структури), механізму їх виникнення та особливостей функціонування у мові.</w:t>
      </w:r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</w:t>
      </w:r>
    </w:p>
    <w:p w:rsidR="00B1489D" w:rsidRPr="00E9310E" w:rsidRDefault="00B1489D" w:rsidP="00B1489D">
      <w:pPr>
        <w:widowControl w:val="0"/>
        <w:spacing w:after="0" w:line="358" w:lineRule="auto"/>
        <w:ind w:firstLine="708"/>
        <w:jc w:val="both"/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</w:pPr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en-US" w:eastAsia="uk-UA"/>
        </w:rPr>
        <w:t>C</w:t>
      </w:r>
      <w:proofErr w:type="spellStart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инкретичні</w:t>
      </w:r>
      <w:proofErr w:type="spellEnd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утворення в мові виникають унаслідок різних причин. Найпоширенішою серед них, без сумніву, є різні трансформаційні процеси у синтаксисі і, як наслідок, – виникнення перехідних явищ.</w:t>
      </w:r>
    </w:p>
    <w:p w:rsidR="002C134C" w:rsidRPr="00E9310E" w:rsidRDefault="00B1489D" w:rsidP="00E9310E">
      <w:pPr>
        <w:widowControl w:val="0"/>
        <w:spacing w:after="0" w:line="358" w:lineRule="auto"/>
        <w:ind w:firstLine="720"/>
        <w:jc w:val="both"/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</w:pPr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Безпосереднім поштовхом до синкретизму є зрушення у співвідношенні форми і змісту </w:t>
      </w:r>
      <w:proofErr w:type="spellStart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мовної</w:t>
      </w:r>
      <w:proofErr w:type="spellEnd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одиниці. Причинами синкретизму у  </w:t>
      </w:r>
      <w:proofErr w:type="spellStart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дуплексивних</w:t>
      </w:r>
      <w:proofErr w:type="spellEnd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структурах є потреба у вираженні семантико-синтаксичних відношень, багатших, ніж типові семантико-синтаксичні відношення. </w:t>
      </w:r>
      <w:proofErr w:type="spellStart"/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Дуплексивні</w:t>
      </w:r>
      <w:proofErr w:type="spellEnd"/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моделі є одним із видів такого “суміщення” ознак: логіко-семантичні відношення між пропозиціями становлять третій компонент змісту. У найзагальнішому вигляді ці відношення можна кваліфікувати як предикативно-атрибутивні з нашаруваннями на них об’єктних чи різно</w:t>
      </w:r>
      <w:r w:rsidR="00F3598E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манітних обставинних відтінків. Пор.</w:t>
      </w:r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: </w:t>
      </w:r>
      <w:r w:rsidR="002C134C" w:rsidRPr="00E9310E">
        <w:rPr>
          <w:rFonts w:ascii="Times New Roman" w:eastAsia="Times New Roman" w:hAnsi="Times New Roman" w:cs="Times New Roman"/>
          <w:i/>
          <w:spacing w:val="10"/>
          <w:sz w:val="28"/>
          <w:szCs w:val="20"/>
          <w:lang w:val="uk-UA" w:eastAsia="uk-UA"/>
        </w:rPr>
        <w:t xml:space="preserve">Свирид косив </w:t>
      </w:r>
      <w:r w:rsidR="002C134C" w:rsidRPr="00E9310E">
        <w:rPr>
          <w:rFonts w:ascii="Times New Roman" w:eastAsia="Times New Roman" w:hAnsi="Times New Roman" w:cs="Times New Roman"/>
          <w:b/>
          <w:i/>
          <w:spacing w:val="10"/>
          <w:sz w:val="28"/>
          <w:szCs w:val="20"/>
          <w:lang w:val="uk-UA" w:eastAsia="uk-UA"/>
        </w:rPr>
        <w:t xml:space="preserve">другим </w:t>
      </w:r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(</w:t>
      </w:r>
      <w:proofErr w:type="spellStart"/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Г.Тютюнник</w:t>
      </w:r>
      <w:proofErr w:type="spellEnd"/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) </w:t>
      </w:r>
      <w:r w:rsidR="002C134C" w:rsidRPr="00E9310E">
        <w:rPr>
          <w:rFonts w:ascii="Times New Roman" w:eastAsia="Times New Roman" w:hAnsi="Times New Roman" w:cs="Times New Roman"/>
          <w:i/>
          <w:spacing w:val="10"/>
          <w:sz w:val="28"/>
          <w:szCs w:val="20"/>
          <w:lang w:val="uk-UA" w:eastAsia="uk-UA"/>
        </w:rPr>
        <w:t>// Коли Свирид косив, то був другим</w:t>
      </w:r>
      <w:r w:rsidR="00F3598E" w:rsidRPr="00E9310E">
        <w:rPr>
          <w:rFonts w:ascii="Times New Roman" w:eastAsia="Times New Roman" w:hAnsi="Times New Roman" w:cs="Times New Roman"/>
          <w:i/>
          <w:spacing w:val="10"/>
          <w:sz w:val="28"/>
          <w:szCs w:val="20"/>
          <w:lang w:val="uk-UA" w:eastAsia="uk-UA"/>
        </w:rPr>
        <w:t>;</w:t>
      </w:r>
      <w:r w:rsidR="002C134C" w:rsidRPr="00E9310E">
        <w:rPr>
          <w:rFonts w:ascii="Times New Roman" w:eastAsia="Times New Roman" w:hAnsi="Times New Roman" w:cs="Times New Roman"/>
          <w:i/>
          <w:spacing w:val="10"/>
          <w:sz w:val="28"/>
          <w:szCs w:val="20"/>
          <w:lang w:val="uk-UA" w:eastAsia="uk-UA"/>
        </w:rPr>
        <w:t xml:space="preserve"> Мене  вивезено звідти ще дитиною </w:t>
      </w:r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(</w:t>
      </w:r>
      <w:proofErr w:type="spellStart"/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П.Загребельний</w:t>
      </w:r>
      <w:proofErr w:type="spellEnd"/>
      <w:r w:rsidR="002C134C"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) </w:t>
      </w:r>
      <w:r w:rsidR="002C134C" w:rsidRPr="00E9310E">
        <w:rPr>
          <w:rFonts w:ascii="Times New Roman" w:eastAsia="Times New Roman" w:hAnsi="Times New Roman" w:cs="Times New Roman"/>
          <w:i/>
          <w:spacing w:val="10"/>
          <w:sz w:val="28"/>
          <w:szCs w:val="20"/>
          <w:lang w:val="uk-UA" w:eastAsia="uk-UA"/>
        </w:rPr>
        <w:t xml:space="preserve">// Мене вивезено звідти, коли я була ще дитиною. </w:t>
      </w:r>
    </w:p>
    <w:p w:rsidR="00B1489D" w:rsidRPr="00E9310E" w:rsidRDefault="004E573F" w:rsidP="00E9310E">
      <w:pPr>
        <w:widowControl w:val="0"/>
        <w:spacing w:after="0" w:line="358" w:lineRule="auto"/>
        <w:ind w:firstLine="708"/>
        <w:jc w:val="both"/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</w:pPr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Відношення між пропозиціями в </w:t>
      </w:r>
      <w:proofErr w:type="spellStart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>дуплексивних</w:t>
      </w:r>
      <w:proofErr w:type="spellEnd"/>
      <w:r w:rsidRPr="00E9310E">
        <w:rPr>
          <w:rFonts w:ascii="Times New Roman" w:eastAsia="Times New Roman" w:hAnsi="Times New Roman" w:cs="Times New Roman"/>
          <w:spacing w:val="10"/>
          <w:sz w:val="28"/>
          <w:szCs w:val="20"/>
          <w:lang w:val="uk-UA" w:eastAsia="uk-UA"/>
        </w:rPr>
        <w:t xml:space="preserve"> конструкціях недиференційовані, тому їх семантику допомагають з’ясувати похідні трансформи. </w:t>
      </w:r>
    </w:p>
    <w:p w:rsidR="00F3598E" w:rsidRPr="00E9310E" w:rsidRDefault="00F3598E" w:rsidP="00F3598E">
      <w:pPr>
        <w:widowControl w:val="0"/>
        <w:shd w:val="clear" w:color="auto" w:fill="FFFFFF"/>
        <w:spacing w:after="0" w:line="360" w:lineRule="auto"/>
        <w:ind w:firstLine="9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E93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відсутності деяких диференційних ознак обставин та заміну їх диференційними ознаками </w:t>
      </w:r>
      <w:bookmarkStart w:id="0" w:name="_GoBack"/>
      <w:bookmarkEnd w:id="0"/>
      <w:r w:rsidRPr="00E93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інших членів речення виникає синкретичний, багатозначний член речення. Наприклад: </w:t>
      </w:r>
      <w:r w:rsidRPr="00E931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А </w:t>
      </w:r>
      <w:r w:rsidRPr="00E93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 w:bidi="uk-UA"/>
        </w:rPr>
        <w:t xml:space="preserve">ще його очі жагуче пасли </w:t>
      </w:r>
      <w:r w:rsidRPr="00E93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uk-UA" w:bidi="uk-UA"/>
        </w:rPr>
        <w:t xml:space="preserve">вхід до церкви, </w:t>
      </w:r>
      <w:r w:rsidRPr="00E93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 w:bidi="uk-UA"/>
        </w:rPr>
        <w:t xml:space="preserve">наче звідти повинно було </w:t>
      </w:r>
      <w:proofErr w:type="spellStart"/>
      <w:r w:rsidRPr="00E93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 w:bidi="uk-UA"/>
        </w:rPr>
        <w:t>випорхнути</w:t>
      </w:r>
      <w:proofErr w:type="spellEnd"/>
      <w:r w:rsidRPr="00E93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 w:bidi="uk-UA"/>
        </w:rPr>
        <w:t xml:space="preserve"> його особисте жадане щастя</w:t>
      </w:r>
      <w:r w:rsidRPr="00E931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E93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(Р. Іваничук);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Одного разу восени ми сиділи на лавці </w:t>
      </w:r>
      <w:r w:rsidRPr="00E9310E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біля клумби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і розмовляли</w:t>
      </w:r>
      <w:r w:rsidRPr="00E93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 Р. </w:t>
      </w:r>
      <w:r w:rsidRPr="00E9310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Іваничук);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Стефанії сільрада видала відріз </w:t>
      </w:r>
      <w:r w:rsidRPr="00E9310E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на спідницю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— подарунок</w:t>
      </w:r>
      <w:r w:rsidRPr="00E93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(В. Лис.);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Останній день </w:t>
      </w:r>
      <w:r w:rsidRPr="00E9310E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перед Різдвом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пройшов метушливо</w:t>
      </w:r>
      <w:r w:rsidRPr="00E93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 Р. Іваничук).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Словоформи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до церкви,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біля</w:t>
      </w:r>
      <w:proofErr w:type="spellEnd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клумби</w:t>
      </w:r>
      <w:proofErr w:type="spellEnd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, на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спідницю</w:t>
      </w:r>
      <w:proofErr w:type="spellEnd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, перед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Різдвом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підпорядковані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дієслівному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компоненту, а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іменникам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з конкретно-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предметним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категоріальним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значенням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вхід</w:t>
      </w:r>
      <w:proofErr w:type="spellEnd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, на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лавці</w:t>
      </w:r>
      <w:proofErr w:type="spellEnd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відріз</w:t>
      </w:r>
      <w:proofErr w:type="spellEnd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, день</w:t>
      </w:r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характерно для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означень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Зазначені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синтаксеми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обставинну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семантику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місця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до церкви,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біля</w:t>
      </w:r>
      <w:proofErr w:type="spellEnd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клумби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>), мети (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на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спідницю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>), часу (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перед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Різдвом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), а й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позначають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ознаку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предмета. Тому до них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поставити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два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вхід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куди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?)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 церкви</w:t>
      </w:r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на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лавці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? де?)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біля</w:t>
      </w:r>
      <w:proofErr w:type="spellEnd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клумби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ідріз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? для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мети?)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на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спідницю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день</w:t>
      </w:r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? коли?) </w:t>
      </w:r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 xml:space="preserve">перед </w:t>
      </w:r>
      <w:proofErr w:type="spellStart"/>
      <w:r w:rsidRPr="00E9310E">
        <w:rPr>
          <w:rFonts w:ascii="Times New Roman" w:eastAsia="Times New Roman" w:hAnsi="Times New Roman" w:cs="Times New Roman"/>
          <w:i/>
          <w:sz w:val="28"/>
          <w:szCs w:val="28"/>
        </w:rPr>
        <w:t>Різдвом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. Перше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310E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свідчує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наявність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атрибутивного компонента семантики, друге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виявляє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обставинне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310E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 w:rsidRPr="00E9310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93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Поєднання диференційних ознак означення та обставини обумовлює синкретизм семантики названих вище словоформ і дозволяє кваліфікувати їх як багатозначні другорядні члени речення – неузгоджені означення з додатковим обставинним значенням.</w:t>
      </w:r>
    </w:p>
    <w:p w:rsidR="00F3598E" w:rsidRPr="00E9310E" w:rsidRDefault="00F3598E" w:rsidP="00F359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9310E">
        <w:rPr>
          <w:rFonts w:ascii="Times New Roman" w:hAnsi="Times New Roman" w:cs="Times New Roman"/>
          <w:sz w:val="28"/>
          <w:szCs w:val="28"/>
          <w:lang w:val="uk-UA"/>
        </w:rPr>
        <w:t>Атрибутиви</w:t>
      </w:r>
      <w:proofErr w:type="spellEnd"/>
      <w:r w:rsidRPr="00E9310E">
        <w:rPr>
          <w:rFonts w:ascii="Times New Roman" w:hAnsi="Times New Roman" w:cs="Times New Roman"/>
          <w:sz w:val="28"/>
          <w:szCs w:val="28"/>
          <w:lang w:val="uk-UA"/>
        </w:rPr>
        <w:t xml:space="preserve"> з обставинним компонентом значення характеризуються різноманітністю способів вираження: вони можуть бути репрезентовані як змінними словоформами – іменниками в непрямих відмінках без прийменників, а найчастіше з прийменниками, так і незмінними формами: інфінітивом і прислівником. Безприйменникові відмінкові конструкції у атрибутивній функції з обставинним значенням досить поширені в сучасній українській мові. </w:t>
      </w:r>
    </w:p>
    <w:p w:rsidR="00FF20BD" w:rsidRPr="00E9310E" w:rsidRDefault="00F3598E" w:rsidP="00F3598E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310E">
        <w:rPr>
          <w:rFonts w:ascii="Times New Roman" w:hAnsi="Times New Roman" w:cs="Times New Roman"/>
          <w:lang w:val="uk-UA"/>
        </w:rPr>
        <w:tab/>
      </w:r>
      <w:r w:rsidRPr="00E9310E">
        <w:rPr>
          <w:rFonts w:ascii="Times New Roman" w:hAnsi="Times New Roman" w:cs="Times New Roman"/>
          <w:sz w:val="28"/>
          <w:szCs w:val="28"/>
          <w:lang w:val="uk-UA"/>
        </w:rPr>
        <w:t>Таким чином, синкретизм як перехідне явище у синтаксисі є сигналом складних перетворень при моделюванні речень.</w:t>
      </w:r>
    </w:p>
    <w:sectPr w:rsidR="00FF20BD" w:rsidRPr="00E9310E" w:rsidSect="00E931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89D"/>
    <w:rsid w:val="002C134C"/>
    <w:rsid w:val="004E573F"/>
    <w:rsid w:val="00B1489D"/>
    <w:rsid w:val="00E9310E"/>
    <w:rsid w:val="00F3598E"/>
    <w:rsid w:val="00F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DFAE"/>
  <w15:chartTrackingRefBased/>
  <w15:docId w15:val="{74ECF946-5B47-4D3C-BEA6-09CE8E00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2022-01-24T14:30:00Z</dcterms:created>
  <dcterms:modified xsi:type="dcterms:W3CDTF">2022-02-16T13:19:00Z</dcterms:modified>
</cp:coreProperties>
</file>