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AFA35" w14:textId="77777777" w:rsidR="00DD72DE" w:rsidRPr="00183043" w:rsidRDefault="00467D7F" w:rsidP="00782651">
      <w:pPr>
        <w:spacing w:after="0" w:line="240" w:lineRule="auto"/>
        <w:jc w:val="both"/>
        <w:rPr>
          <w:rFonts w:ascii="Trebuchet MS" w:eastAsia="Trebuchet MS" w:hAnsi="Trebuchet MS" w:cs="Trebuchet MS"/>
          <w:b/>
          <w:sz w:val="20"/>
          <w:szCs w:val="20"/>
          <w:lang w:val="en-US"/>
        </w:rPr>
      </w:pPr>
      <w:bookmarkStart w:id="0" w:name="_GoBack"/>
      <w:bookmarkEnd w:id="0"/>
      <w:r w:rsidRPr="00183043">
        <w:rPr>
          <w:rFonts w:ascii="Trebuchet MS" w:hAnsi="Trebuchet MS"/>
          <w:b/>
          <w:sz w:val="20"/>
          <w:szCs w:val="20"/>
        </w:rPr>
        <w:t>Comparative Syntax of Secondary Academic Texts Across English and Ukrainian in Scientific Domains</w:t>
      </w:r>
    </w:p>
    <w:p w14:paraId="0B5DA50A" w14:textId="77777777" w:rsidR="00317FF1" w:rsidRPr="00183043" w:rsidRDefault="00467D7F" w:rsidP="00782651">
      <w:pPr>
        <w:spacing w:after="0" w:line="240" w:lineRule="auto"/>
        <w:jc w:val="both"/>
        <w:rPr>
          <w:rFonts w:ascii="Trebuchet MS" w:eastAsia="Trebuchet MS" w:hAnsi="Trebuchet MS" w:cs="Trebuchet MS"/>
          <w:b/>
          <w:sz w:val="20"/>
          <w:szCs w:val="20"/>
        </w:rPr>
      </w:pPr>
      <w:r w:rsidRPr="00183043">
        <w:rPr>
          <w:rFonts w:ascii="Trebuchet MS" w:eastAsia="Trebuchet MS" w:hAnsi="Trebuchet MS" w:cs="Trebuchet MS"/>
          <w:b/>
          <w:sz w:val="20"/>
          <w:szCs w:val="20"/>
        </w:rPr>
        <w:t>Sintaxis comparada de textos académicos secundarios en inglés y ucraniano en ámbitos científicos</w:t>
      </w:r>
    </w:p>
    <w:p w14:paraId="229125AF" w14:textId="77777777" w:rsidR="00317FF1" w:rsidRPr="00183043" w:rsidRDefault="00317FF1" w:rsidP="00782651">
      <w:pPr>
        <w:spacing w:after="0" w:line="240" w:lineRule="auto"/>
        <w:jc w:val="both"/>
        <w:rPr>
          <w:rFonts w:ascii="Trebuchet MS" w:eastAsia="Trebuchet MS" w:hAnsi="Trebuchet MS" w:cs="Trebuchet MS"/>
          <w:sz w:val="20"/>
          <w:szCs w:val="20"/>
        </w:rPr>
      </w:pPr>
    </w:p>
    <w:p w14:paraId="355F7521" w14:textId="77777777" w:rsidR="00467D7F" w:rsidRPr="00183043" w:rsidRDefault="00467D7F" w:rsidP="00467D7F">
      <w:pPr>
        <w:spacing w:after="0" w:line="240" w:lineRule="auto"/>
        <w:jc w:val="both"/>
        <w:rPr>
          <w:rFonts w:ascii="Trebuchet MS" w:eastAsia="Trebuchet MS" w:hAnsi="Trebuchet MS" w:cs="Trebuchet MS"/>
          <w:sz w:val="20"/>
          <w:szCs w:val="20"/>
          <w:lang w:val="uk-UA"/>
        </w:rPr>
      </w:pPr>
      <w:bookmarkStart w:id="1" w:name="_Hlk164323819"/>
      <w:r w:rsidRPr="00183043">
        <w:rPr>
          <w:rFonts w:ascii="Trebuchet MS" w:eastAsia="Trebuchet MS" w:hAnsi="Trebuchet MS" w:cs="Trebuchet MS"/>
          <w:sz w:val="20"/>
          <w:szCs w:val="20"/>
        </w:rPr>
        <w:t>Nataliia Zaitseva</w:t>
      </w:r>
      <w:r w:rsidRPr="00183043">
        <w:rPr>
          <w:rFonts w:ascii="Trebuchet MS" w:eastAsia="Trebuchet MS" w:hAnsi="Trebuchet MS" w:cs="Trebuchet MS"/>
          <w:sz w:val="20"/>
          <w:szCs w:val="20"/>
          <w:vertAlign w:val="superscript"/>
        </w:rPr>
        <w:t>1</w:t>
      </w:r>
      <w:r w:rsidRPr="00183043">
        <w:rPr>
          <w:rFonts w:ascii="Trebuchet MS" w:eastAsia="Trebuchet MS" w:hAnsi="Trebuchet MS" w:cs="Trebuchet MS"/>
          <w:sz w:val="20"/>
          <w:szCs w:val="20"/>
        </w:rPr>
        <w:t>,</w:t>
      </w:r>
      <w:r w:rsidRPr="00183043">
        <w:t xml:space="preserve"> ORCID:</w:t>
      </w:r>
      <w:r w:rsidRPr="00183043">
        <w:rPr>
          <w:rFonts w:ascii="Trebuchet MS" w:eastAsia="Trebuchet MS" w:hAnsi="Trebuchet MS" w:cs="Trebuchet MS"/>
          <w:sz w:val="20"/>
          <w:szCs w:val="20"/>
        </w:rPr>
        <w:t xml:space="preserve"> </w:t>
      </w:r>
      <w:hyperlink r:id="rId7" w:history="1">
        <w:r w:rsidRPr="00183043">
          <w:rPr>
            <w:rStyle w:val="a3"/>
            <w:rFonts w:ascii="Trebuchet MS" w:eastAsia="Trebuchet MS" w:hAnsi="Trebuchet MS" w:cs="Trebuchet MS"/>
            <w:sz w:val="20"/>
            <w:szCs w:val="20"/>
          </w:rPr>
          <w:t>https://orcid.org/0009-0008-4030-7185</w:t>
        </w:r>
      </w:hyperlink>
    </w:p>
    <w:p w14:paraId="2A1D4290" w14:textId="77777777" w:rsidR="00467D7F" w:rsidRPr="00183043" w:rsidRDefault="00467D7F" w:rsidP="00467D7F">
      <w:pPr>
        <w:spacing w:after="0" w:line="240" w:lineRule="auto"/>
        <w:jc w:val="both"/>
        <w:rPr>
          <w:rFonts w:ascii="Trebuchet MS" w:eastAsia="Trebuchet MS" w:hAnsi="Trebuchet MS" w:cs="Trebuchet MS"/>
          <w:sz w:val="20"/>
          <w:szCs w:val="20"/>
          <w:lang w:val="uk-UA"/>
        </w:rPr>
      </w:pPr>
      <w:r w:rsidRPr="00183043">
        <w:rPr>
          <w:rFonts w:ascii="Trebuchet MS" w:eastAsia="Trebuchet MS" w:hAnsi="Trebuchet MS" w:cs="Trebuchet MS"/>
          <w:sz w:val="20"/>
          <w:szCs w:val="20"/>
        </w:rPr>
        <w:t>Svitlana Shcherbyna</w:t>
      </w:r>
      <w:r w:rsidRPr="00183043">
        <w:rPr>
          <w:rFonts w:ascii="Trebuchet MS" w:eastAsia="Trebuchet MS" w:hAnsi="Trebuchet MS" w:cs="Trebuchet MS"/>
          <w:sz w:val="20"/>
          <w:szCs w:val="20"/>
          <w:vertAlign w:val="superscript"/>
        </w:rPr>
        <w:t>2</w:t>
      </w:r>
      <w:r w:rsidRPr="00183043">
        <w:rPr>
          <w:rFonts w:ascii="Trebuchet MS" w:eastAsia="Trebuchet MS" w:hAnsi="Trebuchet MS" w:cs="Trebuchet MS"/>
          <w:sz w:val="20"/>
          <w:szCs w:val="20"/>
        </w:rPr>
        <w:t xml:space="preserve">, </w:t>
      </w:r>
      <w:r w:rsidRPr="00183043">
        <w:t>ORCID:</w:t>
      </w:r>
      <w:r w:rsidRPr="00183043">
        <w:rPr>
          <w:rFonts w:ascii="Trebuchet MS" w:eastAsia="Trebuchet MS" w:hAnsi="Trebuchet MS" w:cs="Trebuchet MS"/>
          <w:sz w:val="20"/>
          <w:szCs w:val="20"/>
        </w:rPr>
        <w:t xml:space="preserve"> </w:t>
      </w:r>
      <w:hyperlink r:id="rId8" w:history="1">
        <w:r w:rsidRPr="00183043">
          <w:rPr>
            <w:rStyle w:val="a3"/>
            <w:rFonts w:ascii="Trebuchet MS" w:eastAsia="Trebuchet MS" w:hAnsi="Trebuchet MS" w:cs="Trebuchet MS"/>
            <w:sz w:val="20"/>
            <w:szCs w:val="20"/>
          </w:rPr>
          <w:t>https://orcid.org/0000-0001-7317-7921</w:t>
        </w:r>
      </w:hyperlink>
    </w:p>
    <w:p w14:paraId="3F8F6468" w14:textId="77777777" w:rsidR="00467D7F" w:rsidRPr="00183043" w:rsidRDefault="00467D7F" w:rsidP="00467D7F">
      <w:pPr>
        <w:spacing w:after="0" w:line="240" w:lineRule="auto"/>
        <w:jc w:val="both"/>
        <w:rPr>
          <w:rFonts w:ascii="Trebuchet MS" w:eastAsia="Trebuchet MS" w:hAnsi="Trebuchet MS" w:cs="Trebuchet MS"/>
          <w:sz w:val="20"/>
          <w:szCs w:val="20"/>
          <w:lang w:val="uk-UA"/>
        </w:rPr>
      </w:pPr>
      <w:r w:rsidRPr="00183043">
        <w:rPr>
          <w:rFonts w:ascii="Trebuchet MS" w:eastAsia="Trebuchet MS" w:hAnsi="Trebuchet MS" w:cs="Trebuchet MS"/>
          <w:sz w:val="20"/>
          <w:szCs w:val="20"/>
        </w:rPr>
        <w:t>Yuliia Puhach</w:t>
      </w:r>
      <w:r w:rsidRPr="00183043">
        <w:rPr>
          <w:rFonts w:ascii="Trebuchet MS" w:eastAsia="Trebuchet MS" w:hAnsi="Trebuchet MS" w:cs="Trebuchet MS"/>
          <w:sz w:val="20"/>
          <w:szCs w:val="20"/>
          <w:vertAlign w:val="superscript"/>
        </w:rPr>
        <w:t>3</w:t>
      </w:r>
      <w:r w:rsidRPr="00183043">
        <w:rPr>
          <w:rFonts w:ascii="Trebuchet MS" w:eastAsia="Trebuchet MS" w:hAnsi="Trebuchet MS" w:cs="Trebuchet MS"/>
          <w:sz w:val="20"/>
          <w:szCs w:val="20"/>
        </w:rPr>
        <w:t xml:space="preserve">, </w:t>
      </w:r>
      <w:r w:rsidRPr="00183043">
        <w:t>ORCID:</w:t>
      </w:r>
      <w:r w:rsidRPr="00183043">
        <w:rPr>
          <w:rFonts w:ascii="Trebuchet MS" w:eastAsia="Trebuchet MS" w:hAnsi="Trebuchet MS" w:cs="Trebuchet MS"/>
          <w:sz w:val="20"/>
          <w:szCs w:val="20"/>
        </w:rPr>
        <w:t xml:space="preserve"> </w:t>
      </w:r>
      <w:hyperlink r:id="rId9" w:history="1">
        <w:r w:rsidRPr="00183043">
          <w:rPr>
            <w:rStyle w:val="a3"/>
            <w:rFonts w:ascii="Trebuchet MS" w:eastAsia="Trebuchet MS" w:hAnsi="Trebuchet MS" w:cs="Trebuchet MS"/>
            <w:sz w:val="20"/>
            <w:szCs w:val="20"/>
          </w:rPr>
          <w:t>https://orcid.org/0000-0002-9890-1354</w:t>
        </w:r>
      </w:hyperlink>
    </w:p>
    <w:p w14:paraId="7B0BB84E" w14:textId="77777777" w:rsidR="00467D7F" w:rsidRPr="00183043" w:rsidRDefault="00467D7F" w:rsidP="00467D7F">
      <w:pPr>
        <w:spacing w:after="0" w:line="240" w:lineRule="auto"/>
        <w:jc w:val="both"/>
        <w:rPr>
          <w:rFonts w:ascii="Trebuchet MS" w:eastAsia="Trebuchet MS" w:hAnsi="Trebuchet MS" w:cs="Trebuchet MS"/>
          <w:sz w:val="20"/>
          <w:szCs w:val="20"/>
        </w:rPr>
      </w:pPr>
      <w:r w:rsidRPr="00183043">
        <w:rPr>
          <w:rFonts w:ascii="Trebuchet MS" w:eastAsia="Trebuchet MS" w:hAnsi="Trebuchet MS" w:cs="Trebuchet MS"/>
          <w:sz w:val="20"/>
          <w:szCs w:val="20"/>
        </w:rPr>
        <w:t>Yaroslava Mozghova</w:t>
      </w:r>
      <w:r w:rsidRPr="00183043">
        <w:rPr>
          <w:rFonts w:ascii="Trebuchet MS" w:eastAsia="Trebuchet MS" w:hAnsi="Trebuchet MS" w:cs="Trebuchet MS"/>
          <w:sz w:val="20"/>
          <w:szCs w:val="20"/>
          <w:vertAlign w:val="superscript"/>
        </w:rPr>
        <w:t>4</w:t>
      </w:r>
      <w:r w:rsidRPr="00183043">
        <w:rPr>
          <w:rFonts w:ascii="Trebuchet MS" w:eastAsia="Trebuchet MS" w:hAnsi="Trebuchet MS" w:cs="Trebuchet MS"/>
          <w:sz w:val="20"/>
          <w:szCs w:val="20"/>
        </w:rPr>
        <w:t xml:space="preserve">, </w:t>
      </w:r>
      <w:r w:rsidRPr="00183043">
        <w:t>ORCID:</w:t>
      </w:r>
      <w:r w:rsidRPr="00183043">
        <w:rPr>
          <w:rFonts w:ascii="Trebuchet MS" w:eastAsia="Trebuchet MS" w:hAnsi="Trebuchet MS" w:cs="Trebuchet MS"/>
          <w:sz w:val="20"/>
          <w:szCs w:val="20"/>
        </w:rPr>
        <w:t xml:space="preserve"> </w:t>
      </w:r>
      <w:hyperlink r:id="rId10" w:history="1">
        <w:r w:rsidRPr="00183043">
          <w:rPr>
            <w:rStyle w:val="a3"/>
            <w:rFonts w:ascii="Trebuchet MS" w:eastAsia="Trebuchet MS" w:hAnsi="Trebuchet MS" w:cs="Trebuchet MS"/>
            <w:sz w:val="20"/>
            <w:szCs w:val="20"/>
          </w:rPr>
          <w:t>https://orcid.org/0000-0002-7696-5613</w:t>
        </w:r>
      </w:hyperlink>
    </w:p>
    <w:p w14:paraId="0BAA6FF7" w14:textId="77777777" w:rsidR="00467D7F" w:rsidRPr="00183043" w:rsidRDefault="00467D7F" w:rsidP="00467D7F">
      <w:pPr>
        <w:spacing w:after="0" w:line="240" w:lineRule="auto"/>
        <w:jc w:val="both"/>
        <w:rPr>
          <w:rFonts w:ascii="Trebuchet MS" w:eastAsia="Trebuchet MS" w:hAnsi="Trebuchet MS" w:cs="Trebuchet MS"/>
          <w:sz w:val="20"/>
          <w:szCs w:val="20"/>
        </w:rPr>
      </w:pPr>
      <w:r w:rsidRPr="00183043">
        <w:rPr>
          <w:rFonts w:ascii="Trebuchet MS" w:eastAsia="Trebuchet MS" w:hAnsi="Trebuchet MS" w:cs="Trebuchet MS"/>
          <w:sz w:val="20"/>
          <w:szCs w:val="20"/>
        </w:rPr>
        <w:t>Ievgen Dolynskyi</w:t>
      </w:r>
      <w:r w:rsidRPr="00183043">
        <w:rPr>
          <w:rFonts w:ascii="Trebuchet MS" w:eastAsia="Trebuchet MS" w:hAnsi="Trebuchet MS" w:cs="Trebuchet MS"/>
          <w:sz w:val="20"/>
          <w:szCs w:val="20"/>
          <w:vertAlign w:val="superscript"/>
        </w:rPr>
        <w:t>5</w:t>
      </w:r>
      <w:r w:rsidRPr="00183043">
        <w:rPr>
          <w:rFonts w:ascii="Trebuchet MS" w:eastAsia="Trebuchet MS" w:hAnsi="Trebuchet MS" w:cs="Trebuchet MS"/>
          <w:sz w:val="20"/>
          <w:szCs w:val="20"/>
        </w:rPr>
        <w:t xml:space="preserve">, </w:t>
      </w:r>
      <w:r w:rsidRPr="00183043">
        <w:t>ORCID:</w:t>
      </w:r>
      <w:r w:rsidRPr="00183043">
        <w:rPr>
          <w:rFonts w:ascii="Trebuchet MS" w:eastAsia="Trebuchet MS" w:hAnsi="Trebuchet MS" w:cs="Trebuchet MS"/>
          <w:sz w:val="20"/>
          <w:szCs w:val="20"/>
        </w:rPr>
        <w:t xml:space="preserve"> </w:t>
      </w:r>
      <w:hyperlink r:id="rId11" w:history="1">
        <w:r w:rsidRPr="00183043">
          <w:rPr>
            <w:rStyle w:val="a3"/>
            <w:rFonts w:ascii="Trebuchet MS" w:eastAsia="Trebuchet MS" w:hAnsi="Trebuchet MS" w:cs="Trebuchet MS"/>
            <w:sz w:val="20"/>
            <w:szCs w:val="20"/>
          </w:rPr>
          <w:t>https://orcid.org/0000-0003-4074-4648</w:t>
        </w:r>
      </w:hyperlink>
    </w:p>
    <w:bookmarkEnd w:id="1"/>
    <w:p w14:paraId="2496124D" w14:textId="77777777" w:rsidR="00467D7F" w:rsidRPr="00183043" w:rsidRDefault="00467D7F" w:rsidP="00467D7F">
      <w:pPr>
        <w:spacing w:after="0" w:line="240" w:lineRule="auto"/>
        <w:jc w:val="both"/>
        <w:rPr>
          <w:rFonts w:ascii="Trebuchet MS" w:eastAsia="Trebuchet MS" w:hAnsi="Trebuchet MS" w:cs="Trebuchet MS"/>
          <w:sz w:val="20"/>
          <w:szCs w:val="20"/>
        </w:rPr>
      </w:pPr>
    </w:p>
    <w:p w14:paraId="2C48D6F6" w14:textId="77777777" w:rsidR="00467D7F" w:rsidRPr="00183043" w:rsidRDefault="00467D7F" w:rsidP="00467D7F">
      <w:pPr>
        <w:spacing w:after="0" w:line="240" w:lineRule="auto"/>
        <w:jc w:val="both"/>
        <w:rPr>
          <w:rFonts w:ascii="Trebuchet MS" w:eastAsia="Trebuchet MS" w:hAnsi="Trebuchet MS" w:cs="Trebuchet MS"/>
          <w:sz w:val="20"/>
          <w:szCs w:val="20"/>
        </w:rPr>
      </w:pPr>
      <w:r w:rsidRPr="00183043">
        <w:rPr>
          <w:rFonts w:ascii="Trebuchet MS" w:eastAsia="Trebuchet MS" w:hAnsi="Trebuchet MS" w:cs="Trebuchet MS"/>
          <w:sz w:val="20"/>
          <w:szCs w:val="20"/>
          <w:vertAlign w:val="superscript"/>
        </w:rPr>
        <w:t>1</w:t>
      </w:r>
      <w:r w:rsidRPr="00183043">
        <w:rPr>
          <w:rFonts w:ascii="Trebuchet MS" w:eastAsia="Trebuchet MS" w:hAnsi="Trebuchet MS" w:cs="Trebuchet MS"/>
          <w:sz w:val="20"/>
          <w:szCs w:val="20"/>
        </w:rPr>
        <w:t xml:space="preserve"> Department of Germanic Languages, Drahomanov State Ukrainian University. Kyiv, Ukraine</w:t>
      </w:r>
    </w:p>
    <w:p w14:paraId="016B5DAF" w14:textId="5E8B655A" w:rsidR="00467D7F" w:rsidRPr="00183043" w:rsidRDefault="00467D7F" w:rsidP="00467D7F">
      <w:pPr>
        <w:spacing w:after="0" w:line="240" w:lineRule="auto"/>
        <w:jc w:val="both"/>
        <w:rPr>
          <w:rFonts w:ascii="Trebuchet MS" w:eastAsia="Trebuchet MS" w:hAnsi="Trebuchet MS" w:cs="Trebuchet MS"/>
          <w:sz w:val="20"/>
          <w:szCs w:val="20"/>
        </w:rPr>
      </w:pPr>
      <w:r w:rsidRPr="00183043">
        <w:rPr>
          <w:rFonts w:ascii="Trebuchet MS" w:eastAsia="Trebuchet MS" w:hAnsi="Trebuchet MS" w:cs="Trebuchet MS"/>
          <w:sz w:val="20"/>
          <w:szCs w:val="20"/>
          <w:vertAlign w:val="superscript"/>
        </w:rPr>
        <w:t>2</w:t>
      </w:r>
      <w:r w:rsidRPr="00183043">
        <w:rPr>
          <w:rFonts w:ascii="Trebuchet MS" w:eastAsia="Trebuchet MS" w:hAnsi="Trebuchet MS" w:cs="Trebuchet MS"/>
          <w:sz w:val="20"/>
          <w:szCs w:val="20"/>
        </w:rPr>
        <w:t> Department of Economics, Private Higher Education Institution “Institute of Ecology Economics and Law”. Kyiv, Ukraine</w:t>
      </w:r>
    </w:p>
    <w:p w14:paraId="0EF5AC8A" w14:textId="77777777" w:rsidR="00467D7F" w:rsidRPr="00183043" w:rsidRDefault="00467D7F" w:rsidP="00467D7F">
      <w:pPr>
        <w:spacing w:after="0" w:line="240" w:lineRule="auto"/>
        <w:jc w:val="both"/>
        <w:rPr>
          <w:rFonts w:ascii="Trebuchet MS" w:eastAsia="Trebuchet MS" w:hAnsi="Trebuchet MS" w:cs="Trebuchet MS"/>
          <w:sz w:val="20"/>
          <w:szCs w:val="20"/>
        </w:rPr>
      </w:pPr>
      <w:r w:rsidRPr="00183043">
        <w:rPr>
          <w:rFonts w:ascii="Trebuchet MS" w:eastAsia="Trebuchet MS" w:hAnsi="Trebuchet MS" w:cs="Trebuchet MS"/>
          <w:sz w:val="20"/>
          <w:szCs w:val="20"/>
          <w:vertAlign w:val="superscript"/>
        </w:rPr>
        <w:t>3</w:t>
      </w:r>
      <w:r w:rsidRPr="00183043">
        <w:rPr>
          <w:rFonts w:ascii="Trebuchet MS" w:eastAsia="Trebuchet MS" w:hAnsi="Trebuchet MS" w:cs="Trebuchet MS"/>
          <w:sz w:val="20"/>
          <w:szCs w:val="20"/>
        </w:rPr>
        <w:t> Department of Ukrainian and Foreign Languages and Teaching Methods in Primary and Preschool Education, Dragomanov Ukrainian State University. Kyiv, Ukraine</w:t>
      </w:r>
    </w:p>
    <w:p w14:paraId="01E8D2D3" w14:textId="77777777" w:rsidR="00467D7F" w:rsidRPr="00183043" w:rsidRDefault="00467D7F" w:rsidP="00467D7F">
      <w:pPr>
        <w:spacing w:after="0" w:line="240" w:lineRule="auto"/>
        <w:jc w:val="both"/>
        <w:rPr>
          <w:rFonts w:ascii="Trebuchet MS" w:eastAsia="Trebuchet MS" w:hAnsi="Trebuchet MS" w:cs="Trebuchet MS"/>
          <w:sz w:val="20"/>
          <w:szCs w:val="20"/>
        </w:rPr>
      </w:pPr>
      <w:r w:rsidRPr="00183043">
        <w:rPr>
          <w:rFonts w:ascii="Trebuchet MS" w:eastAsia="Trebuchet MS" w:hAnsi="Trebuchet MS" w:cs="Trebuchet MS"/>
          <w:sz w:val="20"/>
          <w:szCs w:val="20"/>
          <w:vertAlign w:val="superscript"/>
        </w:rPr>
        <w:t>4</w:t>
      </w:r>
      <w:r w:rsidRPr="00183043">
        <w:rPr>
          <w:rFonts w:ascii="Trebuchet MS" w:eastAsia="Trebuchet MS" w:hAnsi="Trebuchet MS" w:cs="Trebuchet MS"/>
          <w:sz w:val="20"/>
          <w:szCs w:val="20"/>
        </w:rPr>
        <w:t> Department of Foreign Philology and Translation, Faculty of Economics and Law, National Transport University. Kyiv, Ukraine</w:t>
      </w:r>
    </w:p>
    <w:p w14:paraId="5BEC9977" w14:textId="77777777" w:rsidR="00467D7F" w:rsidRPr="00183043" w:rsidRDefault="00467D7F" w:rsidP="00467D7F">
      <w:pPr>
        <w:spacing w:after="0" w:line="240" w:lineRule="auto"/>
        <w:jc w:val="both"/>
        <w:rPr>
          <w:rFonts w:ascii="Trebuchet MS" w:eastAsia="Trebuchet MS" w:hAnsi="Trebuchet MS" w:cs="Trebuchet MS"/>
          <w:sz w:val="20"/>
          <w:szCs w:val="20"/>
        </w:rPr>
      </w:pPr>
      <w:r w:rsidRPr="00183043">
        <w:rPr>
          <w:rFonts w:ascii="Trebuchet MS" w:eastAsia="Trebuchet MS" w:hAnsi="Trebuchet MS" w:cs="Trebuchet MS"/>
          <w:sz w:val="20"/>
          <w:szCs w:val="20"/>
          <w:vertAlign w:val="superscript"/>
        </w:rPr>
        <w:t>5</w:t>
      </w:r>
      <w:r w:rsidRPr="00183043">
        <w:rPr>
          <w:rFonts w:ascii="Trebuchet MS" w:eastAsia="Trebuchet MS" w:hAnsi="Trebuchet MS" w:cs="Trebuchet MS"/>
          <w:sz w:val="20"/>
          <w:szCs w:val="20"/>
        </w:rPr>
        <w:t> Department of Germanic Philology and Translation Studies, Khmelnytskyi National University. Khmelnytskyi, Ukraine</w:t>
      </w:r>
    </w:p>
    <w:p w14:paraId="1EC86442" w14:textId="77777777" w:rsidR="00467D7F" w:rsidRPr="00183043" w:rsidRDefault="00467D7F" w:rsidP="00467D7F">
      <w:pPr>
        <w:spacing w:after="0" w:line="240" w:lineRule="auto"/>
        <w:jc w:val="both"/>
        <w:rPr>
          <w:rFonts w:ascii="Trebuchet MS" w:eastAsia="Trebuchet MS" w:hAnsi="Trebuchet MS" w:cs="Trebuchet MS"/>
          <w:sz w:val="20"/>
          <w:szCs w:val="20"/>
        </w:rPr>
      </w:pPr>
    </w:p>
    <w:p w14:paraId="08BAE7A2" w14:textId="77777777" w:rsidR="00D66E80" w:rsidRPr="00183043" w:rsidRDefault="001F241E" w:rsidP="00782651">
      <w:pPr>
        <w:spacing w:after="0" w:line="240" w:lineRule="auto"/>
        <w:jc w:val="both"/>
      </w:pPr>
      <w:r w:rsidRPr="00183043">
        <w:rPr>
          <w:rFonts w:ascii="Trebuchet MS" w:eastAsia="Trebuchet MS" w:hAnsi="Trebuchet MS" w:cs="Trebuchet MS"/>
          <w:b/>
          <w:bCs/>
          <w:sz w:val="20"/>
          <w:szCs w:val="20"/>
          <w:lang w:val="en-US"/>
        </w:rPr>
        <w:t>Corresponding author:</w:t>
      </w:r>
      <w:r w:rsidRPr="00183043">
        <w:rPr>
          <w:rFonts w:ascii="Trebuchet MS" w:eastAsia="Trebuchet MS" w:hAnsi="Trebuchet MS" w:cs="Trebuchet MS"/>
          <w:sz w:val="20"/>
          <w:szCs w:val="20"/>
          <w:lang w:val="en-US"/>
        </w:rPr>
        <w:t xml:space="preserve"> </w:t>
      </w:r>
      <w:r w:rsidR="00467D7F" w:rsidRPr="00183043">
        <w:rPr>
          <w:rFonts w:ascii="Trebuchet MS" w:eastAsia="Trebuchet MS" w:hAnsi="Trebuchet MS" w:cs="Trebuchet MS"/>
          <w:sz w:val="20"/>
          <w:szCs w:val="20"/>
        </w:rPr>
        <w:t>Nataliia Zaitseva</w:t>
      </w:r>
      <w:r w:rsidRPr="00183043">
        <w:rPr>
          <w:rFonts w:ascii="Trebuchet MS" w:eastAsia="Trebuchet MS" w:hAnsi="Trebuchet MS" w:cs="Trebuchet MS"/>
          <w:sz w:val="20"/>
          <w:szCs w:val="20"/>
          <w:lang w:val="en-US"/>
        </w:rPr>
        <w:t>, e-mail</w:t>
      </w:r>
      <w:r w:rsidR="005634CE" w:rsidRPr="00183043">
        <w:rPr>
          <w:rFonts w:ascii="Trebuchet MS" w:eastAsia="Trebuchet MS" w:hAnsi="Trebuchet MS" w:cs="Trebuchet MS"/>
          <w:sz w:val="20"/>
          <w:szCs w:val="20"/>
          <w:lang w:val="en-US"/>
        </w:rPr>
        <w:t xml:space="preserve">: </w:t>
      </w:r>
      <w:hyperlink r:id="rId12" w:history="1">
        <w:r w:rsidR="00467D7F" w:rsidRPr="00183043">
          <w:rPr>
            <w:rStyle w:val="a3"/>
            <w:rFonts w:ascii="Trebuchet MS" w:eastAsia="Trebuchet MS" w:hAnsi="Trebuchet MS" w:cs="Trebuchet MS"/>
            <w:sz w:val="20"/>
            <w:szCs w:val="20"/>
          </w:rPr>
          <w:t>dziumanka@gmail.com</w:t>
        </w:r>
      </w:hyperlink>
    </w:p>
    <w:p w14:paraId="0554F969" w14:textId="77777777" w:rsidR="00317FF1" w:rsidRPr="00183043" w:rsidRDefault="00317FF1" w:rsidP="00782651">
      <w:pPr>
        <w:spacing w:after="0" w:line="240" w:lineRule="auto"/>
        <w:jc w:val="both"/>
        <w:rPr>
          <w:rFonts w:ascii="Trebuchet MS" w:eastAsia="Trebuchet MS" w:hAnsi="Trebuchet MS" w:cs="Trebuchet MS"/>
          <w:sz w:val="20"/>
          <w:szCs w:val="20"/>
          <w:lang w:val="en-US"/>
        </w:rPr>
      </w:pPr>
    </w:p>
    <w:p w14:paraId="27F0F688" w14:textId="77777777" w:rsidR="00317FF1" w:rsidRPr="00183043" w:rsidRDefault="00EE21F7" w:rsidP="00782651">
      <w:pPr>
        <w:spacing w:after="0" w:line="240" w:lineRule="auto"/>
        <w:jc w:val="both"/>
        <w:rPr>
          <w:rFonts w:ascii="Trebuchet MS" w:eastAsia="Trebuchet MS" w:hAnsi="Trebuchet MS" w:cs="Trebuchet MS"/>
          <w:b/>
          <w:sz w:val="20"/>
          <w:szCs w:val="20"/>
          <w:lang w:val="en-US"/>
        </w:rPr>
      </w:pPr>
      <w:bookmarkStart w:id="2" w:name="_Hlk147217770"/>
      <w:r w:rsidRPr="00183043">
        <w:rPr>
          <w:rFonts w:ascii="Trebuchet MS" w:eastAsia="Trebuchet MS" w:hAnsi="Trebuchet MS" w:cs="Trebuchet MS"/>
          <w:b/>
          <w:sz w:val="20"/>
          <w:szCs w:val="20"/>
          <w:lang w:val="en-US"/>
        </w:rPr>
        <w:t>ABSTRACT</w:t>
      </w:r>
    </w:p>
    <w:p w14:paraId="622E7A86" w14:textId="77777777" w:rsidR="00FC5068" w:rsidRPr="00183043" w:rsidRDefault="00154A48" w:rsidP="00782651">
      <w:pPr>
        <w:spacing w:after="0" w:line="240" w:lineRule="auto"/>
        <w:jc w:val="both"/>
        <w:rPr>
          <w:rFonts w:ascii="Trebuchet MS" w:eastAsia="Trebuchet MS" w:hAnsi="Trebuchet MS" w:cs="Trebuchet MS"/>
          <w:sz w:val="20"/>
          <w:szCs w:val="20"/>
          <w:lang w:val="en-US"/>
        </w:rPr>
      </w:pPr>
      <w:r w:rsidRPr="00183043">
        <w:rPr>
          <w:rFonts w:ascii="Trebuchet MS" w:eastAsia="Trebuchet MS" w:hAnsi="Trebuchet MS" w:cs="Trebuchet MS"/>
          <w:b/>
          <w:bCs/>
          <w:sz w:val="20"/>
          <w:szCs w:val="20"/>
          <w:lang w:val="en-US"/>
        </w:rPr>
        <w:t>Introduction:</w:t>
      </w:r>
      <w:r w:rsidR="004B551C" w:rsidRPr="00183043">
        <w:rPr>
          <w:rFonts w:ascii="Trebuchet MS" w:eastAsia="Trebuchet MS" w:hAnsi="Trebuchet MS" w:cs="Trebuchet MS"/>
          <w:sz w:val="20"/>
          <w:szCs w:val="20"/>
          <w:lang w:val="en-US"/>
        </w:rPr>
        <w:t xml:space="preserve"> </w:t>
      </w:r>
      <w:r w:rsidR="00917017" w:rsidRPr="00183043">
        <w:rPr>
          <w:rFonts w:ascii="Trebuchet MS" w:hAnsi="Trebuchet MS"/>
          <w:sz w:val="20"/>
          <w:szCs w:val="20"/>
        </w:rPr>
        <w:t>Effective communication in modern science depends on many factors, including the syntactic organisation of academic texts, which allows for accurately conveying the essence of information, avoiding contradictory or double reading, and formulating ideas, concepts, and strategies. This article aims to analyse the syntactic features of school academic texts.</w:t>
      </w:r>
    </w:p>
    <w:p w14:paraId="2C1F4C95" w14:textId="77777777" w:rsidR="00FC5068" w:rsidRPr="00183043" w:rsidRDefault="00154A48" w:rsidP="00782651">
      <w:pPr>
        <w:spacing w:after="0" w:line="240" w:lineRule="auto"/>
        <w:jc w:val="both"/>
        <w:rPr>
          <w:rFonts w:ascii="Trebuchet MS" w:eastAsia="Trebuchet MS" w:hAnsi="Trebuchet MS" w:cs="Trebuchet MS"/>
          <w:sz w:val="20"/>
          <w:szCs w:val="20"/>
          <w:lang w:val="en-US"/>
        </w:rPr>
      </w:pPr>
      <w:r w:rsidRPr="00183043">
        <w:rPr>
          <w:rFonts w:ascii="Trebuchet MS" w:eastAsia="Trebuchet MS" w:hAnsi="Trebuchet MS" w:cs="Trebuchet MS"/>
          <w:b/>
          <w:bCs/>
          <w:sz w:val="20"/>
          <w:szCs w:val="20"/>
          <w:lang w:val="en-US"/>
        </w:rPr>
        <w:t>Methods:</w:t>
      </w:r>
      <w:r w:rsidR="004B551C" w:rsidRPr="00183043">
        <w:rPr>
          <w:rFonts w:ascii="Trebuchet MS" w:eastAsia="Trebuchet MS" w:hAnsi="Trebuchet MS" w:cs="Trebuchet MS"/>
          <w:sz w:val="20"/>
          <w:szCs w:val="20"/>
          <w:lang w:val="en-US"/>
        </w:rPr>
        <w:t xml:space="preserve"> </w:t>
      </w:r>
      <w:r w:rsidR="00917017" w:rsidRPr="00183043">
        <w:rPr>
          <w:rFonts w:ascii="Trebuchet MS" w:hAnsi="Trebuchet MS"/>
          <w:sz w:val="20"/>
          <w:szCs w:val="20"/>
        </w:rPr>
        <w:t>To this end, the specific features of scientific communication of this type and the specifics of scientific thinking have been investigated.</w:t>
      </w:r>
    </w:p>
    <w:p w14:paraId="47C9CB2B" w14:textId="77777777" w:rsidR="00D47012" w:rsidRPr="00183043" w:rsidRDefault="00154A48" w:rsidP="00782651">
      <w:pPr>
        <w:spacing w:after="0" w:line="240" w:lineRule="auto"/>
        <w:jc w:val="both"/>
        <w:rPr>
          <w:rFonts w:ascii="Trebuchet MS" w:hAnsi="Trebuchet MS"/>
          <w:sz w:val="20"/>
          <w:szCs w:val="20"/>
        </w:rPr>
      </w:pPr>
      <w:r w:rsidRPr="00183043">
        <w:rPr>
          <w:rFonts w:ascii="Trebuchet MS" w:eastAsia="Trebuchet MS" w:hAnsi="Trebuchet MS" w:cs="Trebuchet MS"/>
          <w:b/>
          <w:bCs/>
          <w:sz w:val="20"/>
          <w:szCs w:val="20"/>
          <w:lang w:val="en-US"/>
        </w:rPr>
        <w:t>Results:</w:t>
      </w:r>
      <w:r w:rsidR="004B551C" w:rsidRPr="00183043">
        <w:rPr>
          <w:rFonts w:ascii="Trebuchet MS" w:eastAsia="Trebuchet MS" w:hAnsi="Trebuchet MS" w:cs="Trebuchet MS"/>
          <w:sz w:val="20"/>
          <w:szCs w:val="20"/>
          <w:lang w:val="en-US"/>
        </w:rPr>
        <w:t xml:space="preserve"> </w:t>
      </w:r>
      <w:r w:rsidR="00917017" w:rsidRPr="00183043">
        <w:rPr>
          <w:rFonts w:ascii="Trebuchet MS" w:hAnsi="Trebuchet MS"/>
          <w:sz w:val="20"/>
          <w:szCs w:val="20"/>
        </w:rPr>
        <w:t>The study's results will help improve the effectiveness of tools in scientific communication and deepen the methodological foundations of scientific discourse. The study analysed a large corpus of secondary scientific and academic texts (abstracts, reviews, abstracts, theses, and dissertations), describing and comparing the specifics of syntactic structures in Ukrainian and English; studied the peculiarities of writing secondary scientific texts; formulated specific recommendations and conducted a statistical analysis of the levels of comprehension of secondary scientific (academic) texts in the languages compared. It is established that secondary educational and scientific texts differ in the syntactic organisation of the text depending on the field of knowledge.</w:t>
      </w:r>
    </w:p>
    <w:p w14:paraId="2383FEB3" w14:textId="77777777" w:rsidR="00D47012" w:rsidRPr="00183043" w:rsidRDefault="00154A48" w:rsidP="00782651">
      <w:pPr>
        <w:spacing w:after="80" w:line="240" w:lineRule="auto"/>
        <w:rPr>
          <w:rFonts w:ascii="Trebuchet MS" w:hAnsi="Trebuchet MS"/>
          <w:b/>
          <w:sz w:val="20"/>
          <w:szCs w:val="20"/>
        </w:rPr>
      </w:pPr>
      <w:r w:rsidRPr="00183043">
        <w:rPr>
          <w:rFonts w:ascii="Trebuchet MS" w:eastAsia="Trebuchet MS" w:hAnsi="Trebuchet MS" w:cs="Trebuchet MS"/>
          <w:b/>
          <w:bCs/>
          <w:sz w:val="20"/>
          <w:szCs w:val="20"/>
          <w:lang w:val="en-US"/>
        </w:rPr>
        <w:t>Conclusions:</w:t>
      </w:r>
      <w:r w:rsidR="004B551C" w:rsidRPr="00183043">
        <w:rPr>
          <w:rFonts w:ascii="Trebuchet MS" w:eastAsia="Trebuchet MS" w:hAnsi="Trebuchet MS" w:cs="Trebuchet MS"/>
          <w:sz w:val="20"/>
          <w:szCs w:val="20"/>
          <w:lang w:val="en-US"/>
        </w:rPr>
        <w:t xml:space="preserve"> </w:t>
      </w:r>
      <w:r w:rsidR="00917017" w:rsidRPr="00183043">
        <w:rPr>
          <w:rFonts w:ascii="Trebuchet MS" w:hAnsi="Trebuchet MS"/>
          <w:sz w:val="20"/>
          <w:szCs w:val="20"/>
        </w:rPr>
        <w:t>Thus, the humanities are characterised by emotional syntax with rhetorical figures emphasising interpretation, while in technical texts, syntax is subject to strict logic and argumentation. The presence of descriptive constructions and emotional colouring characterises the syntax of scientific texts in the humanities. In contrast, technical fields are characterised by analytical sentence structure and syntax based on logical grammatical constructions.</w:t>
      </w:r>
    </w:p>
    <w:p w14:paraId="19CED6D9" w14:textId="77777777" w:rsidR="00467D7F" w:rsidRPr="00183043" w:rsidRDefault="00467D7F" w:rsidP="00782651">
      <w:pPr>
        <w:spacing w:after="0" w:line="240" w:lineRule="auto"/>
        <w:jc w:val="both"/>
        <w:rPr>
          <w:rFonts w:ascii="Trebuchet MS" w:eastAsia="Trebuchet MS" w:hAnsi="Trebuchet MS" w:cs="Trebuchet MS"/>
          <w:sz w:val="20"/>
          <w:szCs w:val="20"/>
          <w:lang w:val="en-US"/>
        </w:rPr>
      </w:pPr>
    </w:p>
    <w:p w14:paraId="2F14F0B1" w14:textId="77777777" w:rsidR="00CF614A" w:rsidRPr="00183043" w:rsidRDefault="00154A48" w:rsidP="00782651">
      <w:pPr>
        <w:spacing w:after="0" w:line="240" w:lineRule="auto"/>
        <w:jc w:val="both"/>
        <w:rPr>
          <w:rFonts w:ascii="Trebuchet MS" w:hAnsi="Trebuchet MS" w:cs="Arial"/>
          <w:sz w:val="20"/>
          <w:szCs w:val="20"/>
        </w:rPr>
      </w:pPr>
      <w:r w:rsidRPr="00183043">
        <w:rPr>
          <w:rFonts w:ascii="Trebuchet MS" w:eastAsia="Trebuchet MS" w:hAnsi="Trebuchet MS" w:cs="Trebuchet MS"/>
          <w:b/>
          <w:sz w:val="20"/>
          <w:szCs w:val="20"/>
          <w:lang w:val="en-US"/>
        </w:rPr>
        <w:t>Keywords:</w:t>
      </w:r>
      <w:r w:rsidR="00D47012" w:rsidRPr="00183043">
        <w:rPr>
          <w:rFonts w:ascii="Trebuchet MS" w:hAnsi="Trebuchet MS"/>
          <w:sz w:val="20"/>
          <w:szCs w:val="20"/>
        </w:rPr>
        <w:t xml:space="preserve"> </w:t>
      </w:r>
      <w:r w:rsidR="00467D7F" w:rsidRPr="00183043">
        <w:rPr>
          <w:rFonts w:ascii="Trebuchet MS" w:hAnsi="Trebuchet MS"/>
          <w:sz w:val="20"/>
          <w:szCs w:val="20"/>
        </w:rPr>
        <w:t>academic writing, scientific style, academic writing, science, scientific writing, secondary education, review, abstract, thesis, abstract, syntactic structure</w:t>
      </w:r>
      <w:r w:rsidR="00CF614A" w:rsidRPr="00183043">
        <w:rPr>
          <w:rFonts w:ascii="Trebuchet MS" w:hAnsi="Trebuchet MS" w:cs="Arial"/>
          <w:sz w:val="20"/>
          <w:szCs w:val="20"/>
        </w:rPr>
        <w:t>.</w:t>
      </w:r>
    </w:p>
    <w:p w14:paraId="51627012" w14:textId="77777777" w:rsidR="001A2ADD" w:rsidRPr="00183043" w:rsidRDefault="001A2ADD" w:rsidP="00782651">
      <w:pPr>
        <w:spacing w:after="0" w:line="240" w:lineRule="auto"/>
        <w:jc w:val="both"/>
        <w:rPr>
          <w:rFonts w:ascii="Trebuchet MS" w:eastAsia="Trebuchet MS" w:hAnsi="Trebuchet MS" w:cs="Trebuchet MS"/>
          <w:sz w:val="20"/>
          <w:szCs w:val="20"/>
          <w:lang w:val="en-US"/>
        </w:rPr>
      </w:pPr>
    </w:p>
    <w:p w14:paraId="48723E1A" w14:textId="77777777" w:rsidR="00EE21F7" w:rsidRPr="00183043" w:rsidRDefault="00EE21F7" w:rsidP="00782651">
      <w:pPr>
        <w:spacing w:after="0" w:line="240" w:lineRule="auto"/>
        <w:jc w:val="both"/>
        <w:rPr>
          <w:rFonts w:ascii="Trebuchet MS" w:hAnsi="Trebuchet MS"/>
          <w:b/>
          <w:bCs/>
          <w:sz w:val="20"/>
          <w:szCs w:val="20"/>
        </w:rPr>
      </w:pPr>
      <w:r w:rsidRPr="00183043">
        <w:rPr>
          <w:rFonts w:ascii="Trebuchet MS" w:hAnsi="Trebuchet MS"/>
          <w:b/>
          <w:bCs/>
          <w:sz w:val="20"/>
          <w:szCs w:val="20"/>
        </w:rPr>
        <w:t>RESUMEN</w:t>
      </w:r>
    </w:p>
    <w:p w14:paraId="61C543EF" w14:textId="77777777" w:rsidR="00917017" w:rsidRPr="00183043" w:rsidRDefault="00CF614A" w:rsidP="00917017">
      <w:pPr>
        <w:spacing w:after="0" w:line="240" w:lineRule="auto"/>
        <w:jc w:val="both"/>
        <w:rPr>
          <w:rFonts w:ascii="Trebuchet MS" w:hAnsi="Trebuchet MS"/>
          <w:bCs/>
          <w:sz w:val="20"/>
          <w:szCs w:val="20"/>
        </w:rPr>
      </w:pPr>
      <w:r w:rsidRPr="00183043">
        <w:rPr>
          <w:rFonts w:ascii="Trebuchet MS" w:hAnsi="Trebuchet MS"/>
          <w:b/>
          <w:bCs/>
          <w:sz w:val="20"/>
          <w:szCs w:val="20"/>
        </w:rPr>
        <w:t xml:space="preserve">Introducción: </w:t>
      </w:r>
      <w:r w:rsidR="00917017" w:rsidRPr="00183043">
        <w:rPr>
          <w:rFonts w:ascii="Trebuchet MS" w:hAnsi="Trebuchet MS"/>
          <w:bCs/>
          <w:sz w:val="20"/>
          <w:szCs w:val="20"/>
        </w:rPr>
        <w:t>La comunicación eficaz en la ciencia moderna depende de muchos factores, entre ellos la organización sintáctica de los textos académicos, que permite transmitir con precisión la esencia de la información, evitar lecturas contradictorias o dobles y formular ideas, conceptos y estrategias. Este artículo pretende analizar las características sintácticas de los textos académicos escolares.</w:t>
      </w:r>
    </w:p>
    <w:p w14:paraId="67CC1584" w14:textId="77777777" w:rsidR="00917017" w:rsidRPr="00183043" w:rsidRDefault="00917017" w:rsidP="00917017">
      <w:pPr>
        <w:spacing w:after="0" w:line="240" w:lineRule="auto"/>
        <w:jc w:val="both"/>
        <w:rPr>
          <w:rFonts w:ascii="Trebuchet MS" w:hAnsi="Trebuchet MS"/>
          <w:bCs/>
          <w:sz w:val="20"/>
          <w:szCs w:val="20"/>
        </w:rPr>
      </w:pPr>
      <w:r w:rsidRPr="00183043">
        <w:rPr>
          <w:rFonts w:ascii="Trebuchet MS" w:hAnsi="Trebuchet MS"/>
          <w:b/>
          <w:bCs/>
          <w:sz w:val="20"/>
          <w:szCs w:val="20"/>
        </w:rPr>
        <w:t>Métodos:</w:t>
      </w:r>
      <w:r w:rsidRPr="00183043">
        <w:rPr>
          <w:rFonts w:ascii="Trebuchet MS" w:hAnsi="Trebuchet MS"/>
          <w:bCs/>
          <w:sz w:val="20"/>
          <w:szCs w:val="20"/>
        </w:rPr>
        <w:t xml:space="preserve"> Para ello, se han investigado los rasgos específicos de este tipo de comunicación científica y las particularidades del pensamiento científico.</w:t>
      </w:r>
    </w:p>
    <w:p w14:paraId="1B626629" w14:textId="77777777" w:rsidR="00917017" w:rsidRPr="00183043" w:rsidRDefault="00917017" w:rsidP="00917017">
      <w:pPr>
        <w:spacing w:after="0" w:line="240" w:lineRule="auto"/>
        <w:jc w:val="both"/>
        <w:rPr>
          <w:rFonts w:ascii="Trebuchet MS" w:hAnsi="Trebuchet MS"/>
          <w:bCs/>
          <w:sz w:val="20"/>
          <w:szCs w:val="20"/>
        </w:rPr>
      </w:pPr>
      <w:r w:rsidRPr="00183043">
        <w:rPr>
          <w:rFonts w:ascii="Trebuchet MS" w:hAnsi="Trebuchet MS"/>
          <w:b/>
          <w:bCs/>
          <w:sz w:val="20"/>
          <w:szCs w:val="20"/>
        </w:rPr>
        <w:t>Resultados:</w:t>
      </w:r>
      <w:r w:rsidRPr="00183043">
        <w:rPr>
          <w:rFonts w:ascii="Trebuchet MS" w:hAnsi="Trebuchet MS"/>
          <w:bCs/>
          <w:sz w:val="20"/>
          <w:szCs w:val="20"/>
        </w:rPr>
        <w:t xml:space="preserve"> Los resultados del estudio contribuirán a mejorar la eficacia de las herramientas de comunicación científica y a profundizar en los fundamentos metodológicos del discurso </w:t>
      </w:r>
      <w:r w:rsidRPr="00183043">
        <w:rPr>
          <w:rFonts w:ascii="Trebuchet MS" w:hAnsi="Trebuchet MS"/>
          <w:bCs/>
          <w:sz w:val="20"/>
          <w:szCs w:val="20"/>
        </w:rPr>
        <w:lastRenderedPageBreak/>
        <w:t>científico. El estudio analizó un amplio corpus de textos científicos y académicos secundarios (resúmenes, reseñas, resúmenes, tesis y disertaciones), describiendo y comparando las especificidades de las estructuras sintácticas en ucraniano e inglés; estudió las peculiaridades de la redacción de textos científicos secundarios; formuló recomendaciones específicas y realizó un análisis estadístico de los niveles de comprensión de textos científicos (académicos) secundarios en las lenguas comparadas. Se establece que los textos educativos y científicos secundarios difieren en la organización sintáctica del texto en función del campo de conocimiento.</w:t>
      </w:r>
    </w:p>
    <w:p w14:paraId="28F5FA61" w14:textId="77777777" w:rsidR="00917017" w:rsidRPr="00183043" w:rsidRDefault="00917017" w:rsidP="00917017">
      <w:pPr>
        <w:spacing w:after="0" w:line="240" w:lineRule="auto"/>
        <w:jc w:val="both"/>
        <w:rPr>
          <w:rFonts w:ascii="Trebuchet MS" w:hAnsi="Trebuchet MS"/>
          <w:bCs/>
          <w:sz w:val="20"/>
          <w:szCs w:val="20"/>
        </w:rPr>
      </w:pPr>
      <w:r w:rsidRPr="00183043">
        <w:rPr>
          <w:rFonts w:ascii="Trebuchet MS" w:hAnsi="Trebuchet MS"/>
          <w:b/>
          <w:bCs/>
          <w:sz w:val="20"/>
          <w:szCs w:val="20"/>
        </w:rPr>
        <w:t>Conclusiones:</w:t>
      </w:r>
      <w:r w:rsidRPr="00183043">
        <w:rPr>
          <w:rFonts w:ascii="Trebuchet MS" w:hAnsi="Trebuchet MS"/>
          <w:bCs/>
          <w:sz w:val="20"/>
          <w:szCs w:val="20"/>
        </w:rPr>
        <w:t xml:space="preserve"> Así, las humanidades se caracterizan por una sintaxis emocional con figuras retóricas que enfatizan la interpretación, mientras que en los textos técnicos la sintaxis está sujeta a la lógica estricta y a la argumentación. La presencia de construcciones descriptivas y de colorido emocional caracteriza la sintaxis de los textos científicos de humanidades. En cambio, los textos técnicos se caracterizan por una estructura oracional analítica y una sintaxis basada en construcciones gramaticales lógicas.</w:t>
      </w:r>
    </w:p>
    <w:p w14:paraId="7F9319A6" w14:textId="77777777" w:rsidR="00634B1F" w:rsidRPr="00183043" w:rsidRDefault="00634B1F" w:rsidP="00917017">
      <w:pPr>
        <w:spacing w:after="0" w:line="240" w:lineRule="auto"/>
        <w:jc w:val="both"/>
        <w:rPr>
          <w:rFonts w:ascii="Trebuchet MS" w:hAnsi="Trebuchet MS"/>
          <w:bCs/>
          <w:sz w:val="20"/>
          <w:szCs w:val="20"/>
        </w:rPr>
      </w:pPr>
    </w:p>
    <w:p w14:paraId="494C0145" w14:textId="77777777" w:rsidR="00CF614A" w:rsidRPr="00183043" w:rsidRDefault="00CF614A" w:rsidP="00782651">
      <w:pPr>
        <w:spacing w:after="0" w:line="240" w:lineRule="auto"/>
        <w:jc w:val="both"/>
        <w:rPr>
          <w:rFonts w:ascii="Trebuchet MS" w:hAnsi="Trebuchet MS"/>
          <w:sz w:val="20"/>
          <w:szCs w:val="20"/>
        </w:rPr>
      </w:pPr>
    </w:p>
    <w:p w14:paraId="03D99999" w14:textId="77777777" w:rsidR="00EE21F7" w:rsidRPr="00183043" w:rsidRDefault="00EE21F7" w:rsidP="00782651">
      <w:pPr>
        <w:spacing w:after="0" w:line="240" w:lineRule="auto"/>
        <w:jc w:val="both"/>
        <w:rPr>
          <w:rFonts w:ascii="Trebuchet MS" w:hAnsi="Trebuchet MS"/>
          <w:sz w:val="20"/>
          <w:szCs w:val="20"/>
        </w:rPr>
      </w:pPr>
      <w:r w:rsidRPr="00183043">
        <w:rPr>
          <w:rFonts w:ascii="Trebuchet MS" w:hAnsi="Trebuchet MS"/>
          <w:b/>
          <w:bCs/>
          <w:sz w:val="20"/>
          <w:szCs w:val="20"/>
        </w:rPr>
        <w:t>Palabras clave:</w:t>
      </w:r>
      <w:r w:rsidRPr="00183043">
        <w:rPr>
          <w:rFonts w:ascii="Trebuchet MS" w:hAnsi="Trebuchet MS"/>
          <w:sz w:val="20"/>
          <w:szCs w:val="20"/>
        </w:rPr>
        <w:t xml:space="preserve"> </w:t>
      </w:r>
      <w:r w:rsidR="00917017" w:rsidRPr="00183043">
        <w:rPr>
          <w:rFonts w:ascii="Trebuchet MS" w:hAnsi="Trebuchet MS" w:cs="Arial"/>
          <w:sz w:val="20"/>
          <w:szCs w:val="20"/>
        </w:rPr>
        <w:t>edacción académica, estilo científico, redacción académica, ciencia, redacción científica, enseñanza secundaria, reseña, resumen, tesis, resumen, estructura sintáctica.</w:t>
      </w:r>
    </w:p>
    <w:bookmarkEnd w:id="2"/>
    <w:p w14:paraId="4DE63AC7" w14:textId="77777777" w:rsidR="00317FF1" w:rsidRPr="00183043" w:rsidRDefault="00317FF1" w:rsidP="00782651">
      <w:pPr>
        <w:spacing w:after="0" w:line="240" w:lineRule="auto"/>
        <w:jc w:val="both"/>
        <w:rPr>
          <w:rFonts w:ascii="Trebuchet MS" w:eastAsia="Trebuchet MS" w:hAnsi="Trebuchet MS" w:cs="Trebuchet MS"/>
          <w:sz w:val="20"/>
          <w:szCs w:val="20"/>
        </w:rPr>
      </w:pPr>
    </w:p>
    <w:p w14:paraId="1469C6FA" w14:textId="77777777" w:rsidR="00317FF1" w:rsidRPr="00183043" w:rsidRDefault="00154A48" w:rsidP="00782651">
      <w:pPr>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INTRODUCTION</w:t>
      </w:r>
    </w:p>
    <w:p w14:paraId="390320C4"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It is difficult to overestimate the role of syntactic organisation in a scientific text since it is an effective tool for internal text organisation, structuring, and building a system of argumentation. Therefore, for effective communication in the scientific community, the syntactic organisation of academic texts allows for accurately conveying the essence of information, avoiding contradictory or double reading, formulating ideas and concepts, and presenting the results of one's research. </w:t>
      </w:r>
    </w:p>
    <w:p w14:paraId="480CBEAB" w14:textId="77777777" w:rsidR="00A22132" w:rsidRPr="00183043" w:rsidRDefault="00A22132" w:rsidP="00A22132">
      <w:pPr>
        <w:pStyle w:val="ac"/>
        <w:ind w:firstLine="284"/>
        <w:jc w:val="both"/>
        <w:rPr>
          <w:rFonts w:ascii="Trebuchet MS" w:hAnsi="Trebuchet MS"/>
          <w:sz w:val="20"/>
          <w:szCs w:val="20"/>
          <w:lang w:val="en-GB"/>
        </w:rPr>
      </w:pPr>
      <w:r w:rsidRPr="00183043">
        <w:rPr>
          <w:rFonts w:ascii="Trebuchet MS" w:hAnsi="Trebuchet MS"/>
          <w:sz w:val="20"/>
          <w:szCs w:val="20"/>
          <w:lang w:val="en-GB"/>
        </w:rPr>
        <w:t>The academic writing style is regulated and codified by the established requirements of the scientific style of each national language. However, for most speakers, the requirements are universal and boil down to the absence of ambiguity, conciseness, and accessibility of presentation combined with the use of terms of the relevant terminology. Academic texts are distinguished by a specific list of requirements for each type of such text, which often differ significantly, and the style itself varies from the actual scientific to the educational. The universal requirements of academic writing include the production of speech in the third person and the avoidance of the I-form, the presence of linguistic clichés and terms, and the avoidance of colloquial words, constructions, and phraseology. Editors of international scientific journals use the principles of this style of writing, so mastering them is essential for conducting a scientific dialogue, discussions, or simply entering a scientific context.</w:t>
      </w:r>
    </w:p>
    <w:p w14:paraId="2BFB7A31"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Academic writing is one of the most multifaceted, complex and slowly mastered sets of competences, which include both metalinguistic (e.g., hypothesis formulation, logical organisation of ideas, method of proof) and linguistic (e.g., thesis formulation, use of syntactic structures, transition signals, relevant vocabulary). An important characteristic of a modern scientific text is its openness to the public. The language of the text should be clear and understandable to any educated reader, at least in key, metatextual elements such as the introduction, discussion, and conclusion. Vague, deliberately "academic", hard-to-read language aimed exclusively at narrow specialists is considered a manifestation of the author's academic illiteracy and disrespect for the academic community.</w:t>
      </w:r>
    </w:p>
    <w:p w14:paraId="698B7BFF"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The </w:t>
      </w:r>
      <w:r w:rsidRPr="00183043">
        <w:rPr>
          <w:rFonts w:ascii="Trebuchet MS" w:hAnsi="Trebuchet MS"/>
          <w:sz w:val="20"/>
          <w:szCs w:val="20"/>
          <w:lang w:val="en-GB"/>
        </w:rPr>
        <w:t>a</w:t>
      </w:r>
      <w:r w:rsidRPr="00183043">
        <w:rPr>
          <w:rFonts w:ascii="Trebuchet MS" w:hAnsi="Trebuchet MS"/>
          <w:sz w:val="20"/>
          <w:szCs w:val="20"/>
        </w:rPr>
        <w:t xml:space="preserve">rticle aims to analyse the syntactic features of school scientific texts, exploring the specific features of scientific communication of this type and tracing the specifics of scientific thinking. The study's results will help improve the effectiveness of tools in scientific communication and deepen the methodological foundations of scientific discourse. </w:t>
      </w:r>
    </w:p>
    <w:p w14:paraId="2720C971"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The object of the study is school educational texts (social, natural, technical and humanitarian). The corpus of these academic texts forms the empirical basis of the article. To achieve this goal, the following practical tasks were outlined: </w:t>
      </w:r>
    </w:p>
    <w:p w14:paraId="2FDCCBCB" w14:textId="77777777" w:rsidR="00A22132" w:rsidRPr="00183043" w:rsidRDefault="00A22132" w:rsidP="00716D6F">
      <w:pPr>
        <w:pStyle w:val="ac"/>
        <w:numPr>
          <w:ilvl w:val="0"/>
          <w:numId w:val="39"/>
        </w:numPr>
        <w:ind w:left="284" w:hanging="284"/>
        <w:jc w:val="both"/>
        <w:rPr>
          <w:rFonts w:ascii="Trebuchet MS" w:hAnsi="Trebuchet MS"/>
          <w:sz w:val="20"/>
          <w:szCs w:val="20"/>
        </w:rPr>
      </w:pPr>
      <w:r w:rsidRPr="00183043">
        <w:rPr>
          <w:rFonts w:ascii="Trebuchet MS" w:hAnsi="Trebuchet MS"/>
          <w:sz w:val="20"/>
          <w:szCs w:val="20"/>
        </w:rPr>
        <w:t xml:space="preserve">to analyse the scientific works that have chosen the syntax of secondary scientific and academic texts as the focus of their scientific reflections; </w:t>
      </w:r>
    </w:p>
    <w:p w14:paraId="4482F91F" w14:textId="77777777" w:rsidR="00A22132" w:rsidRPr="00183043" w:rsidRDefault="00A22132" w:rsidP="00716D6F">
      <w:pPr>
        <w:pStyle w:val="ac"/>
        <w:numPr>
          <w:ilvl w:val="0"/>
          <w:numId w:val="39"/>
        </w:numPr>
        <w:ind w:left="284" w:hanging="284"/>
        <w:jc w:val="both"/>
        <w:rPr>
          <w:rFonts w:ascii="Trebuchet MS" w:hAnsi="Trebuchet MS"/>
          <w:sz w:val="20"/>
          <w:szCs w:val="20"/>
        </w:rPr>
      </w:pPr>
      <w:bookmarkStart w:id="3" w:name="_Hlk184768725"/>
      <w:r w:rsidRPr="00183043">
        <w:rPr>
          <w:rFonts w:ascii="Trebuchet MS" w:hAnsi="Trebuchet MS"/>
          <w:sz w:val="20"/>
          <w:szCs w:val="20"/>
        </w:rPr>
        <w:t>-to study the corpus of secondary scientific and academic texts (abstracts, reviews, abstracts, theses, dissertations), describing and comparing the specifics of syntactic structures in Ukrainian and English;</w:t>
      </w:r>
    </w:p>
    <w:p w14:paraId="6F9BF3F3" w14:textId="77777777" w:rsidR="00A22132" w:rsidRPr="00183043" w:rsidRDefault="00A22132" w:rsidP="00716D6F">
      <w:pPr>
        <w:pStyle w:val="ac"/>
        <w:numPr>
          <w:ilvl w:val="0"/>
          <w:numId w:val="39"/>
        </w:numPr>
        <w:ind w:left="284" w:hanging="284"/>
        <w:jc w:val="both"/>
        <w:rPr>
          <w:rFonts w:ascii="Trebuchet MS" w:hAnsi="Trebuchet MS"/>
          <w:sz w:val="20"/>
          <w:szCs w:val="20"/>
        </w:rPr>
      </w:pPr>
      <w:r w:rsidRPr="00183043">
        <w:rPr>
          <w:rFonts w:ascii="Trebuchet MS" w:hAnsi="Trebuchet MS"/>
          <w:sz w:val="20"/>
          <w:szCs w:val="20"/>
          <w:lang w:val="en-GB"/>
        </w:rPr>
        <w:lastRenderedPageBreak/>
        <w:t>to formulate specific practical recommendations for writing or editing this type of academic text;</w:t>
      </w:r>
      <w:r w:rsidRPr="00183043">
        <w:rPr>
          <w:rFonts w:ascii="Trebuchet MS" w:hAnsi="Trebuchet MS"/>
          <w:sz w:val="20"/>
          <w:szCs w:val="20"/>
        </w:rPr>
        <w:t xml:space="preserve"> </w:t>
      </w:r>
    </w:p>
    <w:p w14:paraId="4CEA9B60" w14:textId="77777777" w:rsidR="00A22132" w:rsidRPr="00183043" w:rsidRDefault="00A22132" w:rsidP="00716D6F">
      <w:pPr>
        <w:pStyle w:val="ac"/>
        <w:numPr>
          <w:ilvl w:val="0"/>
          <w:numId w:val="39"/>
        </w:numPr>
        <w:ind w:left="284" w:hanging="284"/>
        <w:jc w:val="both"/>
        <w:rPr>
          <w:rFonts w:ascii="Trebuchet MS" w:hAnsi="Trebuchet MS"/>
          <w:iCs/>
          <w:sz w:val="20"/>
          <w:szCs w:val="20"/>
        </w:rPr>
      </w:pPr>
      <w:r w:rsidRPr="00183043">
        <w:rPr>
          <w:rFonts w:ascii="Trebuchet MS" w:hAnsi="Trebuchet MS"/>
          <w:sz w:val="20"/>
          <w:szCs w:val="20"/>
        </w:rPr>
        <w:t>to conduct a statistical analysis of the levels of comprehension of secondary scientific (academic) texts in the compared languages</w:t>
      </w:r>
      <w:bookmarkEnd w:id="3"/>
      <w:r w:rsidRPr="00183043">
        <w:rPr>
          <w:rFonts w:ascii="Trebuchet MS" w:hAnsi="Trebuchet MS"/>
          <w:sz w:val="20"/>
          <w:szCs w:val="20"/>
        </w:rPr>
        <w:t>.</w:t>
      </w:r>
    </w:p>
    <w:p w14:paraId="5F579381" w14:textId="77777777" w:rsidR="004534B0" w:rsidRPr="00183043" w:rsidRDefault="004534B0" w:rsidP="00782651">
      <w:pPr>
        <w:spacing w:after="0" w:line="240" w:lineRule="auto"/>
        <w:jc w:val="both"/>
        <w:rPr>
          <w:rFonts w:ascii="Trebuchet MS" w:eastAsia="Trebuchet MS" w:hAnsi="Trebuchet MS" w:cs="Trebuchet MS"/>
          <w:sz w:val="20"/>
          <w:szCs w:val="20"/>
          <w:lang w:val="en-US"/>
        </w:rPr>
      </w:pPr>
    </w:p>
    <w:p w14:paraId="3DC2AFB4" w14:textId="77777777" w:rsidR="00C163D5" w:rsidRPr="00183043" w:rsidRDefault="00C163D5" w:rsidP="00782651">
      <w:pPr>
        <w:keepNext/>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GB"/>
        </w:rPr>
        <w:t>LITERATURE REVIEW</w:t>
      </w:r>
    </w:p>
    <w:p w14:paraId="70DB5F2F"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Having conducted a critical review of the scientific literature on our topic, it is worth noting that scientists have investigated the relationship between metacognitive planning, evaluation strategies and control over the interpretation of scientific texts</w:t>
      </w:r>
      <w:r w:rsidR="00D12AEC" w:rsidRPr="00183043">
        <w:rPr>
          <w:rFonts w:ascii="Trebuchet MS" w:hAnsi="Trebuchet MS"/>
          <w:sz w:val="20"/>
          <w:szCs w:val="20"/>
          <w:lang w:val="en-US"/>
        </w:rPr>
        <w:t>.</w:t>
      </w:r>
      <w:r w:rsidR="00893D73" w:rsidRPr="00183043">
        <w:rPr>
          <w:rFonts w:ascii="Trebuchet MS" w:hAnsi="Trebuchet MS"/>
          <w:sz w:val="20"/>
          <w:szCs w:val="20"/>
          <w:vertAlign w:val="superscript"/>
        </w:rPr>
        <w:t xml:space="preserve"> (</w:t>
      </w:r>
      <w:r>
        <w:fldChar w:fldCharType="begin"/>
      </w:r>
      <w:r>
        <w:instrText xml:space="preserve"> REF _Ref188265960 \r \h  \* MERGEFORMAT </w:instrText>
      </w:r>
      <w:r>
        <w:fldChar w:fldCharType="separate"/>
      </w:r>
      <w:r w:rsidRPr="00183043">
        <w:t>1</w:t>
      </w:r>
      <w:r>
        <w:fldChar w:fldCharType="end"/>
      </w:r>
      <w:r w:rsidR="00893D73" w:rsidRPr="00183043">
        <w:rPr>
          <w:rFonts w:ascii="Trebuchet MS" w:hAnsi="Trebuchet MS"/>
          <w:sz w:val="20"/>
          <w:szCs w:val="20"/>
          <w:vertAlign w:val="superscript"/>
        </w:rPr>
        <w:t>)</w:t>
      </w:r>
      <w:r w:rsidR="00893D73" w:rsidRPr="00183043">
        <w:rPr>
          <w:rFonts w:ascii="Trebuchet MS" w:hAnsi="Trebuchet MS"/>
          <w:sz w:val="20"/>
          <w:szCs w:val="20"/>
          <w:vertAlign w:val="superscript"/>
          <w:lang w:val="en-US"/>
        </w:rPr>
        <w:t>,</w:t>
      </w:r>
      <w:r w:rsidRPr="00183043">
        <w:rPr>
          <w:rFonts w:ascii="Trebuchet MS" w:hAnsi="Trebuchet MS"/>
          <w:sz w:val="20"/>
          <w:szCs w:val="20"/>
          <w:vertAlign w:val="superscript"/>
        </w:rPr>
        <w:t>(</w:t>
      </w:r>
      <w:r>
        <w:fldChar w:fldCharType="begin"/>
      </w:r>
      <w:r>
        <w:instrText xml:space="preserve"> REF _Ref188265969 \r \h  \* MERGEFORMAT </w:instrText>
      </w:r>
      <w:r>
        <w:fldChar w:fldCharType="separate"/>
      </w:r>
      <w:r w:rsidRPr="00183043">
        <w:t>2</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Many researchers have classified scientific-style texts and described genre characteristics</w:t>
      </w:r>
      <w:r w:rsidR="00D12AEC" w:rsidRPr="00183043">
        <w:rPr>
          <w:rFonts w:ascii="Trebuchet MS" w:hAnsi="Trebuchet MS"/>
          <w:sz w:val="20"/>
          <w:szCs w:val="20"/>
          <w:lang w:val="en-US"/>
        </w:rPr>
        <w:t>.</w:t>
      </w:r>
      <w:r w:rsidR="003053C3" w:rsidRPr="00183043">
        <w:rPr>
          <w:rFonts w:ascii="Trebuchet MS" w:hAnsi="Trebuchet MS"/>
          <w:sz w:val="20"/>
          <w:szCs w:val="20"/>
          <w:vertAlign w:val="superscript"/>
        </w:rPr>
        <w:t>(</w:t>
      </w:r>
      <w:r>
        <w:fldChar w:fldCharType="begin"/>
      </w:r>
      <w:r>
        <w:instrText xml:space="preserve"> REF _Ref188266294 \r \h  \* MERGEFORMAT </w:instrText>
      </w:r>
      <w:r>
        <w:fldChar w:fldCharType="separate"/>
      </w:r>
      <w:r w:rsidRPr="00183043">
        <w:t>3</w:t>
      </w:r>
      <w:r>
        <w:fldChar w:fldCharType="end"/>
      </w:r>
      <w:r w:rsidR="003053C3" w:rsidRPr="00183043">
        <w:rPr>
          <w:rFonts w:ascii="Trebuchet MS" w:hAnsi="Trebuchet MS"/>
          <w:sz w:val="20"/>
          <w:szCs w:val="20"/>
          <w:vertAlign w:val="superscript"/>
        </w:rPr>
        <w:t>)</w:t>
      </w:r>
      <w:r w:rsidR="003053C3" w:rsidRPr="00183043">
        <w:rPr>
          <w:rFonts w:ascii="Trebuchet MS" w:hAnsi="Trebuchet MS"/>
          <w:sz w:val="20"/>
          <w:szCs w:val="20"/>
          <w:vertAlign w:val="superscript"/>
          <w:lang w:val="en-US"/>
        </w:rPr>
        <w:t>,(</w:t>
      </w:r>
      <w:r>
        <w:fldChar w:fldCharType="begin"/>
      </w:r>
      <w:r>
        <w:instrText xml:space="preserve"> REF _Ref188266422 \r \h  \* MERGEFORMAT </w:instrText>
      </w:r>
      <w:r>
        <w:fldChar w:fldCharType="separate"/>
      </w:r>
      <w:r w:rsidRPr="00183043">
        <w:t>4</w:t>
      </w:r>
      <w:r>
        <w:fldChar w:fldCharType="end"/>
      </w:r>
      <w:r w:rsidR="003053C3" w:rsidRPr="00183043">
        <w:rPr>
          <w:rFonts w:ascii="Trebuchet MS" w:hAnsi="Trebuchet MS"/>
          <w:sz w:val="20"/>
          <w:szCs w:val="20"/>
          <w:vertAlign w:val="superscript"/>
          <w:lang w:val="en-US"/>
        </w:rPr>
        <w:t>),</w:t>
      </w:r>
      <w:r w:rsidRPr="00183043">
        <w:rPr>
          <w:rFonts w:ascii="Trebuchet MS" w:hAnsi="Trebuchet MS"/>
          <w:sz w:val="20"/>
          <w:szCs w:val="20"/>
          <w:vertAlign w:val="superscript"/>
        </w:rPr>
        <w:t>(</w:t>
      </w:r>
      <w:r>
        <w:fldChar w:fldCharType="begin"/>
      </w:r>
      <w:r>
        <w:instrText xml:space="preserve"> REF _Ref188266427 \r \h  \* MERGEFORMAT </w:instrText>
      </w:r>
      <w:r>
        <w:fldChar w:fldCharType="separate"/>
      </w:r>
      <w:r w:rsidRPr="00183043">
        <w:t>5</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Ukrainian scientist Artemenko</w:t>
      </w:r>
      <w:r w:rsidRPr="00183043">
        <w:rPr>
          <w:rFonts w:ascii="Trebuchet MS" w:hAnsi="Trebuchet MS"/>
          <w:sz w:val="20"/>
          <w:szCs w:val="20"/>
          <w:vertAlign w:val="superscript"/>
        </w:rPr>
        <w:t>(</w:t>
      </w:r>
      <w:r>
        <w:fldChar w:fldCharType="begin"/>
      </w:r>
      <w:r>
        <w:instrText xml:space="preserve"> REF _Ref188264877 \r \h  \* MERGEFORMAT </w:instrText>
      </w:r>
      <w:r>
        <w:fldChar w:fldCharType="separate"/>
      </w:r>
      <w:r w:rsidRPr="00183043">
        <w:t>6</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analysed the compliance of academic writing standards with international requirements, as this is important for Ukraine's integration with the world scientific community and for students entering foreign universities or participating in academic mobility programmes. </w:t>
      </w:r>
    </w:p>
    <w:p w14:paraId="2ADF8344"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Important practical scientific achievements include the development of methods for working with bibliographic databases and improving text analysis methods</w:t>
      </w:r>
      <w:r w:rsidR="00D12AEC" w:rsidRPr="00183043">
        <w:rPr>
          <w:rFonts w:ascii="Trebuchet MS" w:hAnsi="Trebuchet MS"/>
          <w:sz w:val="20"/>
          <w:szCs w:val="20"/>
          <w:lang w:val="en-US"/>
        </w:rPr>
        <w:t>.</w:t>
      </w:r>
      <w:r w:rsidRPr="00183043">
        <w:rPr>
          <w:rFonts w:ascii="Trebuchet MS" w:hAnsi="Trebuchet MS"/>
          <w:sz w:val="20"/>
          <w:szCs w:val="20"/>
          <w:vertAlign w:val="superscript"/>
        </w:rPr>
        <w:t>(</w:t>
      </w:r>
      <w:r w:rsidR="00D12AEC" w:rsidRPr="00183043">
        <w:rPr>
          <w:rFonts w:ascii="Trebuchet MS" w:hAnsi="Trebuchet MS"/>
          <w:sz w:val="20"/>
          <w:szCs w:val="20"/>
          <w:vertAlign w:val="superscript"/>
        </w:rPr>
        <w:fldChar w:fldCharType="begin"/>
      </w:r>
      <w:r w:rsidR="00D12AEC" w:rsidRPr="00183043">
        <w:rPr>
          <w:rFonts w:ascii="Trebuchet MS" w:hAnsi="Trebuchet MS"/>
          <w:sz w:val="20"/>
          <w:szCs w:val="20"/>
          <w:vertAlign w:val="superscript"/>
        </w:rPr>
        <w:instrText xml:space="preserve"> REF _Ref188264983 \r \h  \* MERGEFORMAT </w:instrText>
      </w:r>
      <w:r w:rsidR="00D12AEC" w:rsidRPr="00183043">
        <w:rPr>
          <w:rFonts w:ascii="Trebuchet MS" w:hAnsi="Trebuchet MS"/>
          <w:sz w:val="20"/>
          <w:szCs w:val="20"/>
          <w:vertAlign w:val="superscript"/>
        </w:rPr>
      </w:r>
      <w:r w:rsidR="00D12AEC" w:rsidRPr="00183043">
        <w:rPr>
          <w:rFonts w:ascii="Trebuchet MS" w:hAnsi="Trebuchet MS"/>
          <w:sz w:val="20"/>
          <w:szCs w:val="20"/>
          <w:vertAlign w:val="superscript"/>
        </w:rPr>
        <w:fldChar w:fldCharType="separate"/>
      </w:r>
      <w:r w:rsidR="004045D9" w:rsidRPr="00183043">
        <w:rPr>
          <w:rFonts w:ascii="Trebuchet MS" w:hAnsi="Trebuchet MS"/>
          <w:sz w:val="20"/>
          <w:szCs w:val="20"/>
          <w:vertAlign w:val="superscript"/>
        </w:rPr>
        <w:t>7</w:t>
      </w:r>
      <w:r w:rsidR="00D12AEC" w:rsidRPr="00183043">
        <w:rPr>
          <w:rFonts w:ascii="Trebuchet MS" w:hAnsi="Trebuchet MS"/>
          <w:sz w:val="20"/>
          <w:szCs w:val="20"/>
          <w:vertAlign w:val="superscript"/>
        </w:rPr>
        <w:fldChar w:fldCharType="end"/>
      </w:r>
      <w:r w:rsidRPr="00183043">
        <w:rPr>
          <w:rFonts w:ascii="Trebuchet MS" w:hAnsi="Trebuchet MS"/>
          <w:sz w:val="20"/>
          <w:szCs w:val="20"/>
          <w:vertAlign w:val="superscript"/>
        </w:rPr>
        <w:t>)</w:t>
      </w:r>
      <w:r w:rsidR="004045D9" w:rsidRPr="00183043">
        <w:rPr>
          <w:rFonts w:ascii="Trebuchet MS" w:hAnsi="Trebuchet MS"/>
          <w:sz w:val="20"/>
          <w:szCs w:val="20"/>
          <w:vertAlign w:val="superscript"/>
          <w:lang w:val="en-US"/>
        </w:rPr>
        <w:t>,(</w:t>
      </w:r>
      <w:r>
        <w:fldChar w:fldCharType="begin"/>
      </w:r>
      <w:r>
        <w:instrText xml:space="preserve"> REF _Ref188266753 \r \h  \* MERGEFORMAT </w:instrText>
      </w:r>
      <w:r>
        <w:fldChar w:fldCharType="separate"/>
      </w:r>
      <w:r w:rsidRPr="00183043">
        <w:t>8</w:t>
      </w:r>
      <w:r>
        <w:fldChar w:fldCharType="end"/>
      </w:r>
      <w:r w:rsidR="004045D9" w:rsidRPr="00183043">
        <w:rPr>
          <w:rFonts w:ascii="Trebuchet MS" w:hAnsi="Trebuchet MS"/>
          <w:sz w:val="20"/>
          <w:szCs w:val="20"/>
          <w:vertAlign w:val="superscript"/>
          <w:lang w:val="en-US"/>
        </w:rPr>
        <w:t>)</w:t>
      </w:r>
      <w:r w:rsidRPr="00183043">
        <w:rPr>
          <w:rFonts w:ascii="Trebuchet MS" w:hAnsi="Trebuchet MS"/>
          <w:sz w:val="20"/>
          <w:szCs w:val="20"/>
        </w:rPr>
        <w:t xml:space="preserve"> Mebertet al.</w:t>
      </w:r>
      <w:r w:rsidRPr="00183043">
        <w:rPr>
          <w:rFonts w:ascii="Trebuchet MS" w:hAnsi="Trebuchet MS"/>
          <w:sz w:val="20"/>
          <w:szCs w:val="20"/>
          <w:vertAlign w:val="superscript"/>
        </w:rPr>
        <w:t>(</w:t>
      </w:r>
      <w:r>
        <w:fldChar w:fldCharType="begin"/>
      </w:r>
      <w:r>
        <w:instrText xml:space="preserve"> REF _Ref188267010 \r \h  \* MERGEFORMAT </w:instrText>
      </w:r>
      <w:r>
        <w:fldChar w:fldCharType="separate"/>
      </w:r>
      <w:r w:rsidRPr="00183043">
        <w:t>9</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outlined the features of writing a scientific essay as a dominant genre in scientific discourse, exploring the structure and organisation of the text, the logical sequence of arguments and criteria for completing the task. Researchers Adhikari and Mukherjee</w:t>
      </w:r>
      <w:r w:rsidRPr="00183043">
        <w:rPr>
          <w:rFonts w:ascii="Trebuchet MS" w:hAnsi="Trebuchet MS"/>
          <w:sz w:val="20"/>
          <w:szCs w:val="20"/>
          <w:vertAlign w:val="superscript"/>
        </w:rPr>
        <w:t>(</w:t>
      </w:r>
      <w:r>
        <w:fldChar w:fldCharType="begin"/>
      </w:r>
      <w:r>
        <w:instrText xml:space="preserve"> REF _Ref188265080 \r \h  \* MERGEFORMAT </w:instrText>
      </w:r>
      <w:r>
        <w:fldChar w:fldCharType="separate"/>
      </w:r>
      <w:r w:rsidRPr="00183043">
        <w:rPr>
          <w:rFonts w:ascii="Trebuchet MS" w:hAnsi="Trebuchet MS"/>
          <w:sz w:val="20"/>
          <w:szCs w:val="20"/>
          <w:vertAlign w:val="superscript"/>
        </w:rPr>
        <w:t>10</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and Piter et al.</w:t>
      </w:r>
      <w:r w:rsidRPr="00183043">
        <w:rPr>
          <w:rFonts w:ascii="Trebuchet MS" w:hAnsi="Trebuchet MS"/>
          <w:sz w:val="20"/>
          <w:szCs w:val="20"/>
          <w:vertAlign w:val="superscript"/>
        </w:rPr>
        <w:t>(</w:t>
      </w:r>
      <w:r>
        <w:fldChar w:fldCharType="begin"/>
      </w:r>
      <w:r>
        <w:instrText xml:space="preserve"> REF _Ref188265092 \r \h  \* MERGEFORMAT </w:instrText>
      </w:r>
      <w:r>
        <w:fldChar w:fldCharType="separate"/>
      </w:r>
      <w:r w:rsidRPr="00183043">
        <w:rPr>
          <w:rFonts w:ascii="Trebuchet MS" w:hAnsi="Trebuchet MS"/>
          <w:sz w:val="20"/>
          <w:szCs w:val="20"/>
          <w:vertAlign w:val="superscript"/>
        </w:rPr>
        <w:t>11</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focus on the relevance of the topics of scientific articles and their relevance to the topics of conferences or scientific symposia.</w:t>
      </w:r>
    </w:p>
    <w:p w14:paraId="5BBB7E79"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Studying the discursive structure of industry-specific scientific articles is essential for the academic field</w:t>
      </w:r>
      <w:r w:rsidR="00D12AEC" w:rsidRPr="00183043">
        <w:rPr>
          <w:rFonts w:ascii="Trebuchet MS" w:hAnsi="Trebuchet MS"/>
          <w:sz w:val="20"/>
          <w:szCs w:val="20"/>
          <w:lang w:val="en-US"/>
        </w:rPr>
        <w:t>.</w:t>
      </w:r>
      <w:r w:rsidRPr="00183043">
        <w:rPr>
          <w:rFonts w:ascii="Trebuchet MS" w:hAnsi="Trebuchet MS"/>
          <w:sz w:val="20"/>
          <w:szCs w:val="20"/>
          <w:vertAlign w:val="superscript"/>
        </w:rPr>
        <w:t>(</w:t>
      </w:r>
      <w:r>
        <w:fldChar w:fldCharType="begin"/>
      </w:r>
      <w:r>
        <w:instrText xml:space="preserve"> REF _Ref188265110 \r \h  \* MERGEFORMAT </w:instrText>
      </w:r>
      <w:r>
        <w:fldChar w:fldCharType="separate"/>
      </w:r>
      <w:r w:rsidRPr="00183043">
        <w:rPr>
          <w:rFonts w:ascii="Trebuchet MS" w:hAnsi="Trebuchet MS"/>
          <w:sz w:val="20"/>
          <w:szCs w:val="20"/>
          <w:vertAlign w:val="superscript"/>
        </w:rPr>
        <w:t>12</w:t>
      </w:r>
      <w:r>
        <w:fldChar w:fldCharType="end"/>
      </w:r>
      <w:r w:rsidR="00D12AEC" w:rsidRPr="00183043">
        <w:rPr>
          <w:rFonts w:ascii="Trebuchet MS" w:hAnsi="Trebuchet MS"/>
          <w:sz w:val="20"/>
          <w:szCs w:val="20"/>
          <w:vertAlign w:val="superscript"/>
          <w:lang w:val="en-US"/>
        </w:rPr>
        <w:t>),(</w:t>
      </w:r>
      <w:r>
        <w:fldChar w:fldCharType="begin"/>
      </w:r>
      <w:r>
        <w:instrText xml:space="preserve"> REF _Ref188265185 \r \h  \* MERGEFORMAT </w:instrText>
      </w:r>
      <w:r>
        <w:fldChar w:fldCharType="separate"/>
      </w:r>
      <w:r w:rsidRPr="00183043">
        <w:rPr>
          <w:rFonts w:ascii="Trebuchet MS" w:hAnsi="Trebuchet MS"/>
          <w:sz w:val="20"/>
          <w:szCs w:val="20"/>
          <w:vertAlign w:val="superscript"/>
        </w:rPr>
        <w:t>13</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Academic texts have several specific features that distinguish them from other styles. These features, such as objectivity, absence of emotional colours, and personal judgements, are discussed in the works of Wu et al.</w:t>
      </w:r>
      <w:r w:rsidRPr="00183043">
        <w:rPr>
          <w:rFonts w:ascii="Trebuchet MS" w:hAnsi="Trebuchet MS"/>
          <w:sz w:val="20"/>
          <w:szCs w:val="20"/>
          <w:vertAlign w:val="superscript"/>
        </w:rPr>
        <w:t>(</w:t>
      </w:r>
      <w:r>
        <w:fldChar w:fldCharType="begin"/>
      </w:r>
      <w:r>
        <w:instrText xml:space="preserve"> REF _Ref188265228 \r \h  \* MERGEFORMAT </w:instrText>
      </w:r>
      <w:r>
        <w:fldChar w:fldCharType="separate"/>
      </w:r>
      <w:r w:rsidRPr="00183043">
        <w:rPr>
          <w:rFonts w:ascii="Trebuchet MS" w:hAnsi="Trebuchet MS"/>
          <w:sz w:val="20"/>
          <w:szCs w:val="20"/>
          <w:vertAlign w:val="superscript"/>
        </w:rPr>
        <w:t>14</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and Davydov and Lozynska</w:t>
      </w:r>
      <w:r w:rsidRPr="00183043">
        <w:rPr>
          <w:rFonts w:ascii="Trebuchet MS" w:hAnsi="Trebuchet MS"/>
          <w:sz w:val="20"/>
          <w:szCs w:val="20"/>
          <w:vertAlign w:val="superscript"/>
        </w:rPr>
        <w:t>(</w:t>
      </w:r>
      <w:r>
        <w:fldChar w:fldCharType="begin"/>
      </w:r>
      <w:r>
        <w:instrText xml:space="preserve"> REF _Ref188265241 \r \h  \* MERGEFORMAT </w:instrText>
      </w:r>
      <w:r>
        <w:fldChar w:fldCharType="separate"/>
      </w:r>
      <w:r w:rsidRPr="00183043">
        <w:rPr>
          <w:rFonts w:ascii="Trebuchet MS" w:hAnsi="Trebuchet MS"/>
          <w:sz w:val="20"/>
          <w:szCs w:val="20"/>
          <w:vertAlign w:val="superscript"/>
        </w:rPr>
        <w:t>16</w:t>
      </w:r>
      <w:r>
        <w:fldChar w:fldCharType="end"/>
      </w:r>
      <w:r w:rsidRPr="00183043">
        <w:rPr>
          <w:rFonts w:ascii="Trebuchet MS" w:hAnsi="Trebuchet MS"/>
          <w:sz w:val="20"/>
          <w:szCs w:val="20"/>
          <w:vertAlign w:val="superscript"/>
        </w:rPr>
        <w:t>)</w:t>
      </w:r>
      <w:r w:rsidRPr="00183043">
        <w:rPr>
          <w:rFonts w:ascii="Trebuchet MS" w:hAnsi="Trebuchet MS"/>
          <w:sz w:val="20"/>
          <w:szCs w:val="20"/>
        </w:rPr>
        <w:t>. Most studies focus on the analysis of the syntactic features of English as a language of international communication, the language of modern science</w:t>
      </w:r>
      <w:r w:rsidR="00D12AEC" w:rsidRPr="00183043">
        <w:rPr>
          <w:rFonts w:ascii="Trebuchet MS" w:hAnsi="Trebuchet MS"/>
          <w:sz w:val="20"/>
          <w:szCs w:val="20"/>
          <w:lang w:val="en-US"/>
        </w:rPr>
        <w:t>.</w:t>
      </w:r>
      <w:r w:rsidRPr="00183043">
        <w:rPr>
          <w:rFonts w:ascii="Trebuchet MS" w:hAnsi="Trebuchet MS"/>
          <w:sz w:val="20"/>
          <w:szCs w:val="20"/>
          <w:vertAlign w:val="superscript"/>
        </w:rPr>
        <w:t>(</w:t>
      </w:r>
      <w:r>
        <w:fldChar w:fldCharType="begin"/>
      </w:r>
      <w:r>
        <w:instrText xml:space="preserve"> REF _Ref188265317 \r \h  \* MERGEFORMAT </w:instrText>
      </w:r>
      <w:r>
        <w:fldChar w:fldCharType="separate"/>
      </w:r>
      <w:r w:rsidRPr="00183043">
        <w:rPr>
          <w:rFonts w:ascii="Trebuchet MS" w:hAnsi="Trebuchet MS"/>
          <w:sz w:val="20"/>
          <w:szCs w:val="20"/>
          <w:vertAlign w:val="superscript"/>
        </w:rPr>
        <w:t>17</w:t>
      </w:r>
      <w:r>
        <w:fldChar w:fldCharType="end"/>
      </w:r>
      <w:r w:rsidR="00D12AEC" w:rsidRPr="00183043">
        <w:rPr>
          <w:rFonts w:ascii="Trebuchet MS" w:hAnsi="Trebuchet MS"/>
          <w:sz w:val="20"/>
          <w:szCs w:val="20"/>
          <w:vertAlign w:val="superscript"/>
          <w:lang w:val="en-US"/>
        </w:rPr>
        <w:t>),(</w:t>
      </w:r>
      <w:r>
        <w:fldChar w:fldCharType="begin"/>
      </w:r>
      <w:r>
        <w:instrText xml:space="preserve"> REF _Ref188265326 \r \h  \* MERGEFORMAT </w:instrText>
      </w:r>
      <w:r>
        <w:fldChar w:fldCharType="separate"/>
      </w:r>
      <w:r w:rsidRPr="00183043">
        <w:rPr>
          <w:rFonts w:ascii="Trebuchet MS" w:hAnsi="Trebuchet MS"/>
          <w:sz w:val="20"/>
          <w:szCs w:val="20"/>
          <w:vertAlign w:val="superscript"/>
        </w:rPr>
        <w:t>18</w:t>
      </w:r>
      <w:r>
        <w:fldChar w:fldCharType="end"/>
      </w:r>
      <w:r w:rsidR="00D12AEC" w:rsidRPr="00183043">
        <w:rPr>
          <w:rFonts w:ascii="Trebuchet MS" w:hAnsi="Trebuchet MS"/>
          <w:sz w:val="20"/>
          <w:szCs w:val="20"/>
          <w:vertAlign w:val="superscript"/>
          <w:lang w:val="en-US"/>
        </w:rPr>
        <w:t>),(</w:t>
      </w:r>
      <w:r>
        <w:fldChar w:fldCharType="begin"/>
      </w:r>
      <w:r>
        <w:instrText xml:space="preserve"> REF _Ref188265333 \r \h  \* MERGEFORMAT </w:instrText>
      </w:r>
      <w:r>
        <w:fldChar w:fldCharType="separate"/>
      </w:r>
      <w:r w:rsidRPr="00183043">
        <w:rPr>
          <w:rFonts w:ascii="Trebuchet MS" w:hAnsi="Trebuchet MS"/>
          <w:sz w:val="20"/>
          <w:szCs w:val="20"/>
          <w:vertAlign w:val="superscript"/>
        </w:rPr>
        <w:t>19</w:t>
      </w:r>
      <w:r>
        <w:fldChar w:fldCharType="end"/>
      </w:r>
      <w:r w:rsidRPr="00183043">
        <w:rPr>
          <w:rFonts w:ascii="Trebuchet MS" w:hAnsi="Trebuchet MS"/>
          <w:sz w:val="20"/>
          <w:szCs w:val="20"/>
          <w:vertAlign w:val="superscript"/>
        </w:rPr>
        <w:t>)</w:t>
      </w:r>
    </w:p>
    <w:p w14:paraId="42EFDFB1" w14:textId="77777777" w:rsidR="00A22132" w:rsidRPr="00183043" w:rsidRDefault="00A22132" w:rsidP="00A22132">
      <w:pPr>
        <w:pStyle w:val="ac"/>
        <w:ind w:firstLine="284"/>
        <w:jc w:val="both"/>
        <w:rPr>
          <w:rFonts w:ascii="Trebuchet MS" w:hAnsi="Trebuchet MS"/>
          <w:iCs/>
          <w:sz w:val="20"/>
          <w:szCs w:val="20"/>
        </w:rPr>
      </w:pPr>
      <w:r w:rsidRPr="00183043">
        <w:rPr>
          <w:rFonts w:ascii="Trebuchet MS" w:hAnsi="Trebuchet MS"/>
          <w:sz w:val="20"/>
          <w:szCs w:val="20"/>
        </w:rPr>
        <w:t>The syntactic level of the text should provide for the possibility of including citations, references, and a system of logically developed argumentation in its structure, facilitating a virtual dialogue with previous researchers. This unique feature of academic texts - conducting an imaginary dialogue with predecessors - has repeatedly become the centre of academic debate</w:t>
      </w:r>
      <w:r w:rsidR="00D12AEC" w:rsidRPr="00183043">
        <w:rPr>
          <w:rFonts w:ascii="Trebuchet MS" w:hAnsi="Trebuchet MS"/>
          <w:sz w:val="20"/>
          <w:szCs w:val="20"/>
          <w:lang w:val="en-US"/>
        </w:rPr>
        <w:t>.</w:t>
      </w:r>
      <w:r w:rsidRPr="00183043">
        <w:rPr>
          <w:rFonts w:ascii="Trebuchet MS" w:hAnsi="Trebuchet MS"/>
          <w:sz w:val="20"/>
          <w:szCs w:val="20"/>
          <w:vertAlign w:val="superscript"/>
        </w:rPr>
        <w:t>(</w:t>
      </w:r>
      <w:r>
        <w:fldChar w:fldCharType="begin"/>
      </w:r>
      <w:r>
        <w:instrText xml:space="preserve"> REF _Ref188265425 \r \h  \* MERGEFORMAT </w:instrText>
      </w:r>
      <w:r>
        <w:fldChar w:fldCharType="separate"/>
      </w:r>
      <w:r w:rsidRPr="00183043">
        <w:rPr>
          <w:rFonts w:ascii="Trebuchet MS" w:hAnsi="Trebuchet MS"/>
          <w:sz w:val="20"/>
          <w:szCs w:val="20"/>
          <w:vertAlign w:val="superscript"/>
        </w:rPr>
        <w:t>20</w:t>
      </w:r>
      <w:r>
        <w:fldChar w:fldCharType="end"/>
      </w:r>
      <w:r w:rsidR="00D12AEC" w:rsidRPr="00183043">
        <w:rPr>
          <w:rFonts w:ascii="Trebuchet MS" w:hAnsi="Trebuchet MS"/>
          <w:sz w:val="20"/>
          <w:szCs w:val="20"/>
          <w:vertAlign w:val="superscript"/>
          <w:lang w:val="en-US"/>
        </w:rPr>
        <w:t>)</w:t>
      </w:r>
      <w:r w:rsidRPr="00183043">
        <w:rPr>
          <w:rFonts w:ascii="Trebuchet MS" w:hAnsi="Trebuchet MS"/>
          <w:sz w:val="20"/>
          <w:szCs w:val="20"/>
          <w:vertAlign w:val="superscript"/>
        </w:rPr>
        <w:t>,</w:t>
      </w:r>
      <w:r w:rsidR="00D12AEC" w:rsidRPr="00183043">
        <w:rPr>
          <w:rFonts w:ascii="Trebuchet MS" w:hAnsi="Trebuchet MS"/>
          <w:sz w:val="20"/>
          <w:szCs w:val="20"/>
          <w:vertAlign w:val="superscript"/>
          <w:lang w:val="en-US"/>
        </w:rPr>
        <w:t>(</w:t>
      </w:r>
      <w:r>
        <w:fldChar w:fldCharType="begin"/>
      </w:r>
      <w:r>
        <w:instrText xml:space="preserve"> REF _Ref188265432 \r \h  \* MERGEFORMAT </w:instrText>
      </w:r>
      <w:r>
        <w:fldChar w:fldCharType="separate"/>
      </w:r>
      <w:r w:rsidRPr="00183043">
        <w:rPr>
          <w:rFonts w:ascii="Trebuchet MS" w:hAnsi="Trebuchet MS"/>
          <w:sz w:val="20"/>
          <w:szCs w:val="20"/>
          <w:vertAlign w:val="superscript"/>
        </w:rPr>
        <w:t>21</w:t>
      </w:r>
      <w:r>
        <w:fldChar w:fldCharType="end"/>
      </w:r>
      <w:r w:rsidR="00D12AEC" w:rsidRPr="00183043">
        <w:rPr>
          <w:rFonts w:ascii="Trebuchet MS" w:hAnsi="Trebuchet MS"/>
          <w:sz w:val="20"/>
          <w:szCs w:val="20"/>
          <w:vertAlign w:val="superscript"/>
          <w:lang w:val="en-US"/>
        </w:rPr>
        <w:t>)</w:t>
      </w:r>
      <w:r w:rsidRPr="00183043">
        <w:rPr>
          <w:rFonts w:ascii="Trebuchet MS" w:hAnsi="Trebuchet MS"/>
          <w:sz w:val="20"/>
          <w:szCs w:val="20"/>
          <w:vertAlign w:val="superscript"/>
        </w:rPr>
        <w:t>,</w:t>
      </w:r>
      <w:r w:rsidR="00D12AEC" w:rsidRPr="00183043">
        <w:rPr>
          <w:rFonts w:ascii="Trebuchet MS" w:hAnsi="Trebuchet MS"/>
          <w:sz w:val="20"/>
          <w:szCs w:val="20"/>
          <w:vertAlign w:val="superscript"/>
          <w:lang w:val="en-US"/>
        </w:rPr>
        <w:t>(</w:t>
      </w:r>
      <w:r>
        <w:fldChar w:fldCharType="begin"/>
      </w:r>
      <w:r>
        <w:instrText xml:space="preserve"> REF _Ref188265438 \r \h  \* MERGEFORMAT </w:instrText>
      </w:r>
      <w:r>
        <w:fldChar w:fldCharType="separate"/>
      </w:r>
      <w:r w:rsidRPr="00183043">
        <w:rPr>
          <w:rFonts w:ascii="Trebuchet MS" w:hAnsi="Trebuchet MS"/>
          <w:sz w:val="20"/>
          <w:szCs w:val="20"/>
          <w:vertAlign w:val="superscript"/>
        </w:rPr>
        <w:t>22</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In addition to the systematic terminology, an academic text should be accessible and understandable; the presentation style should be scientific. To write an academic text, the author must have both linguistic competences - be able to paraphrase words and expressions, verbalise ideas using language at the level of a sentence, paragraph, and text; and metalinguistic competences - analysis, have developed critical thinking, logical thinking, and skills</w:t>
      </w:r>
      <w:r w:rsidR="00D12AEC" w:rsidRPr="00183043">
        <w:rPr>
          <w:rFonts w:ascii="Trebuchet MS" w:hAnsi="Trebuchet MS"/>
          <w:sz w:val="20"/>
          <w:szCs w:val="20"/>
          <w:lang w:val="en-US"/>
        </w:rPr>
        <w:t>.</w:t>
      </w:r>
      <w:r w:rsidRPr="00183043">
        <w:rPr>
          <w:rFonts w:ascii="Trebuchet MS" w:hAnsi="Trebuchet MS"/>
          <w:sz w:val="20"/>
          <w:szCs w:val="20"/>
          <w:vertAlign w:val="superscript"/>
        </w:rPr>
        <w:t>(</w:t>
      </w:r>
      <w:r>
        <w:fldChar w:fldCharType="begin"/>
      </w:r>
      <w:r>
        <w:instrText xml:space="preserve"> REF _Ref188265508 \r \h  \* MERGEFORMAT </w:instrText>
      </w:r>
      <w:r>
        <w:fldChar w:fldCharType="separate"/>
      </w:r>
      <w:r w:rsidRPr="00183043">
        <w:rPr>
          <w:rFonts w:ascii="Trebuchet MS" w:hAnsi="Trebuchet MS"/>
          <w:sz w:val="20"/>
          <w:szCs w:val="20"/>
          <w:vertAlign w:val="superscript"/>
        </w:rPr>
        <w:t>23</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As can be seen from the literature review, the syntax of secondary scientific and academic writing has not been sufficiently studied and requires further detailed research.</w:t>
      </w:r>
    </w:p>
    <w:p w14:paraId="07656D2F" w14:textId="77777777" w:rsidR="00317FF1" w:rsidRPr="00183043" w:rsidRDefault="00317FF1" w:rsidP="00782651">
      <w:pPr>
        <w:spacing w:after="0" w:line="240" w:lineRule="auto"/>
        <w:jc w:val="both"/>
        <w:rPr>
          <w:rFonts w:ascii="Trebuchet MS" w:eastAsia="Trebuchet MS" w:hAnsi="Trebuchet MS" w:cs="Trebuchet MS"/>
          <w:sz w:val="20"/>
          <w:szCs w:val="20"/>
          <w:lang w:val="en-US"/>
        </w:rPr>
      </w:pPr>
    </w:p>
    <w:p w14:paraId="591A5C6B" w14:textId="77777777" w:rsidR="00317FF1" w:rsidRPr="00183043" w:rsidRDefault="00154A48" w:rsidP="00782651">
      <w:pPr>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METHODS</w:t>
      </w:r>
    </w:p>
    <w:p w14:paraId="6358657D" w14:textId="77777777" w:rsidR="00A22132" w:rsidRPr="00183043" w:rsidRDefault="00A22132" w:rsidP="00A22132">
      <w:pPr>
        <w:pStyle w:val="ac"/>
        <w:ind w:firstLine="284"/>
        <w:jc w:val="both"/>
        <w:rPr>
          <w:rFonts w:ascii="Trebuchet MS" w:hAnsi="Trebuchet MS"/>
          <w:iCs/>
          <w:sz w:val="20"/>
          <w:szCs w:val="20"/>
        </w:rPr>
      </w:pPr>
      <w:r w:rsidRPr="00183043">
        <w:rPr>
          <w:rFonts w:ascii="Trebuchet MS" w:hAnsi="Trebuchet MS"/>
          <w:sz w:val="20"/>
          <w:szCs w:val="20"/>
        </w:rPr>
        <w:t>The methodology of the study of the syntax of secondary academic texts consists of the syncretism of such theoretical and experimental methods as descriptive (for critical review of the literature, description of basic theoretical phenomena and concepts), cognitive analysis (for studying the specifics of the syntax of secondary academic texts in Ukrainian and English), corpus analysis of texts (for tracing the frequency of use of syntactic structures), comparative method (for comparing the syntactic structures of the scientific style of English and Ukrainian, cf.</w:t>
      </w:r>
    </w:p>
    <w:p w14:paraId="513A4679" w14:textId="77777777" w:rsidR="00574F88" w:rsidRPr="00183043" w:rsidRDefault="00574F88" w:rsidP="00782651">
      <w:pPr>
        <w:spacing w:after="0" w:line="240" w:lineRule="auto"/>
        <w:jc w:val="both"/>
        <w:rPr>
          <w:rFonts w:ascii="Trebuchet MS" w:eastAsia="Garamond" w:hAnsi="Trebuchet MS" w:cs="Garamond"/>
          <w:sz w:val="20"/>
          <w:szCs w:val="20"/>
        </w:rPr>
      </w:pPr>
    </w:p>
    <w:p w14:paraId="43AE7689" w14:textId="77777777" w:rsidR="00C163D5" w:rsidRPr="00183043" w:rsidRDefault="00C163D5" w:rsidP="00782651">
      <w:pPr>
        <w:keepNext/>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RESULTS</w:t>
      </w:r>
    </w:p>
    <w:p w14:paraId="170632CC"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Academic writing involves the comprehensive development of metalinguistic or linguistic competences to achieve the goal of scientific communication. Effective written communication in the academic environment requires creating texts of various genres based on the developed professional skills of writing, critical thinking, independence, and reflection. The genres of written academic discourse include essays, summaries, abstracts, annotations, information presentations, and scientific articles. </w:t>
      </w:r>
    </w:p>
    <w:p w14:paraId="63D78B75"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lastRenderedPageBreak/>
        <w:t>The key principle of global scientific communication defines a scientific text as a continuation of the ongoing discussion in society on socially significant issues. It carries a new idea that the author brings to the discussion of the academic community and the wider public. For this purpose, the text should be academically competent, i.e., it should convey the new idea to the addressee clearly, concisely and convincingly. Its logic and organisation are based on respect for the reader as a partner - another researcher, student or interested member of society who works with the text as a source of information in a flexible, rich, multimodal environment, selecting and critically evaluating it for his or her purposes. The requirements imposed today on a scientific text when it is published and, accordingly, on an academic text of an educational nature are similar since they are based on this principle. This principle also determines the evaluation of an academic text.</w:t>
      </w:r>
      <w:r w:rsidRPr="00183043">
        <w:rPr>
          <w:rFonts w:ascii="Trebuchet MS" w:hAnsi="Trebuchet MS"/>
          <w:sz w:val="20"/>
          <w:szCs w:val="20"/>
        </w:rPr>
        <w:tab/>
      </w:r>
    </w:p>
    <w:p w14:paraId="5F0DEF0E"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According to the laws of academic writing, the text's organisation is non-linear, focusing on the reader's quick search for information. The mechanics of the text include its language, which should be syntactically clear, concise, and easy to understand. The sentence structure in the text is closely related to the logic of reasoning. The location of secondary and primary information, known and new, matters; even the use of capital letters at the beginning of a sentence plays a role. Mechanics is inextricably linked to focus and organisation, ensuring the text's economy, coherence and clarity. The process of developing academic writing skills is preceded by discussions of several issues, including:</w:t>
      </w:r>
    </w:p>
    <w:p w14:paraId="3498C6FA"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lexical, grammatical and stylistic features of an academic text (knowledge of general scientific and highly specialised terminology, unique vocabulary used for text creation, evaluation, and determining a person's attitude to the subject under consideration);</w:t>
      </w:r>
    </w:p>
    <w:p w14:paraId="641624F5"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genre types of academic written communication with special attention to annotation and abstracting;</w:t>
      </w:r>
    </w:p>
    <w:p w14:paraId="4094B76D"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 the main requirements for writing annotations, types, features, and academic texts are texts aimed at transferring and transforming knowledge in the scientific and educational spheres of communication (abstracts, scientific articles, annotations to articles, literature review, research grant application). </w:t>
      </w:r>
    </w:p>
    <w:p w14:paraId="244DA412" w14:textId="77777777" w:rsidR="00A22132" w:rsidRPr="00183043" w:rsidRDefault="00A22132" w:rsidP="00A22132">
      <w:pPr>
        <w:spacing w:after="0" w:line="240" w:lineRule="auto"/>
        <w:ind w:firstLine="284"/>
        <w:jc w:val="both"/>
        <w:rPr>
          <w:rFonts w:ascii="Trebuchet MS" w:hAnsi="Trebuchet MS"/>
          <w:sz w:val="20"/>
          <w:szCs w:val="20"/>
        </w:rPr>
      </w:pPr>
      <w:r w:rsidRPr="00183043">
        <w:rPr>
          <w:rFonts w:ascii="Trebuchet MS" w:hAnsi="Trebuchet MS"/>
          <w:sz w:val="20"/>
          <w:szCs w:val="20"/>
          <w:lang w:val="en-GB"/>
        </w:rPr>
        <w:t>Syntactic structures ensure the text's coherence and grammatical validity, determining the possible ways of combining and arranging words and phrases in a sentence. Different genres of the scientific style have different syntactic priorities. For example, a review aims to assess a scientific work critically, so it prefers the thesis-argument structure. Abstracts, like summaries of a scientific article or conference, involve elliptical syntactic structures and one-part sentences</w:t>
      </w:r>
      <w:r w:rsidRPr="00183043">
        <w:rPr>
          <w:rFonts w:ascii="Trebuchet MS" w:hAnsi="Trebuchet MS"/>
          <w:sz w:val="20"/>
          <w:szCs w:val="20"/>
        </w:rPr>
        <w:t xml:space="preserve"> (Table 1</w:t>
      </w:r>
      <w:r w:rsidR="00CF238C">
        <w:rPr>
          <w:rFonts w:ascii="Trebuchet MS" w:hAnsi="Trebuchet MS"/>
          <w:sz w:val="20"/>
          <w:szCs w:val="20"/>
        </w:rPr>
        <w:t>, Table 2</w:t>
      </w:r>
      <w:r w:rsidRPr="00183043">
        <w:rPr>
          <w:rFonts w:ascii="Trebuchet MS" w:hAnsi="Trebuchet MS"/>
          <w:sz w:val="20"/>
          <w:szCs w:val="20"/>
        </w:rPr>
        <w:t>).</w:t>
      </w:r>
    </w:p>
    <w:p w14:paraId="519C075A" w14:textId="77777777" w:rsidR="00A22132" w:rsidRPr="00183043" w:rsidRDefault="00A22132" w:rsidP="003462C2">
      <w:pPr>
        <w:spacing w:after="0" w:line="240" w:lineRule="auto"/>
        <w:jc w:val="both"/>
        <w:rPr>
          <w:rFonts w:ascii="Trebuchet MS" w:hAnsi="Trebuchet MS"/>
          <w:sz w:val="20"/>
          <w:szCs w:val="20"/>
          <w:lang w:val="en-GB"/>
        </w:rPr>
      </w:pPr>
    </w:p>
    <w:p w14:paraId="69D2E61A" w14:textId="77777777" w:rsidR="00A22132" w:rsidRPr="00183043" w:rsidRDefault="00A22132" w:rsidP="003462C2">
      <w:pPr>
        <w:keepNext/>
        <w:spacing w:after="0" w:line="240" w:lineRule="auto"/>
        <w:jc w:val="both"/>
        <w:rPr>
          <w:rFonts w:ascii="Trebuchet MS" w:hAnsi="Trebuchet MS"/>
          <w:sz w:val="20"/>
          <w:szCs w:val="20"/>
        </w:rPr>
      </w:pPr>
      <w:r w:rsidRPr="003462C2">
        <w:rPr>
          <w:rFonts w:ascii="Trebuchet MS" w:hAnsi="Trebuchet MS"/>
          <w:b/>
          <w:sz w:val="20"/>
          <w:szCs w:val="20"/>
        </w:rPr>
        <w:t>Table 1.</w:t>
      </w:r>
      <w:r w:rsidRPr="00183043">
        <w:rPr>
          <w:rFonts w:ascii="Trebuchet MS" w:hAnsi="Trebuchet MS"/>
          <w:sz w:val="20"/>
          <w:szCs w:val="20"/>
        </w:rPr>
        <w:t xml:space="preserve"> Comparative Analysis of Syntactic Structures of Secondary Scientific Texts in Ukrainian and English.</w:t>
      </w:r>
    </w:p>
    <w:tbl>
      <w:tblPr>
        <w:tblW w:w="0" w:type="auto"/>
        <w:tblBorders>
          <w:top w:val="single" w:sz="4" w:space="0" w:color="auto"/>
          <w:bottom w:val="single" w:sz="4" w:space="0" w:color="auto"/>
        </w:tblBorders>
        <w:tblLook w:val="04A0" w:firstRow="1" w:lastRow="0" w:firstColumn="1" w:lastColumn="0" w:noHBand="0" w:noVBand="1"/>
      </w:tblPr>
      <w:tblGrid>
        <w:gridCol w:w="4355"/>
        <w:gridCol w:w="4365"/>
      </w:tblGrid>
      <w:tr w:rsidR="00A22132" w:rsidRPr="00183043" w14:paraId="4098C7A5" w14:textId="77777777" w:rsidTr="003462C2">
        <w:trPr>
          <w:cantSplit/>
          <w:tblHeader/>
        </w:trPr>
        <w:tc>
          <w:tcPr>
            <w:tcW w:w="4810" w:type="dxa"/>
            <w:tcBorders>
              <w:top w:val="single" w:sz="4" w:space="0" w:color="auto"/>
              <w:bottom w:val="single" w:sz="4" w:space="0" w:color="auto"/>
            </w:tcBorders>
          </w:tcPr>
          <w:p w14:paraId="5AD26E8D" w14:textId="77777777" w:rsidR="00A22132" w:rsidRPr="00183043" w:rsidRDefault="00A22132" w:rsidP="003462C2">
            <w:pPr>
              <w:keepNext/>
              <w:overflowPunct w:val="0"/>
              <w:autoSpaceDE w:val="0"/>
              <w:autoSpaceDN w:val="0"/>
              <w:adjustRightInd w:val="0"/>
              <w:spacing w:after="0" w:line="240" w:lineRule="auto"/>
              <w:jc w:val="center"/>
              <w:textAlignment w:val="baseline"/>
              <w:rPr>
                <w:rFonts w:ascii="Trebuchet MS" w:hAnsi="Trebuchet MS"/>
                <w:b/>
                <w:sz w:val="20"/>
                <w:szCs w:val="20"/>
              </w:rPr>
            </w:pPr>
            <w:r w:rsidRPr="00183043">
              <w:rPr>
                <w:rFonts w:ascii="Trebuchet MS" w:hAnsi="Trebuchet MS"/>
                <w:b/>
                <w:sz w:val="20"/>
                <w:szCs w:val="20"/>
              </w:rPr>
              <w:t>Features of syntactic structures in the Ukrainian language</w:t>
            </w:r>
          </w:p>
        </w:tc>
        <w:tc>
          <w:tcPr>
            <w:tcW w:w="4810" w:type="dxa"/>
            <w:tcBorders>
              <w:top w:val="single" w:sz="4" w:space="0" w:color="auto"/>
              <w:bottom w:val="single" w:sz="4" w:space="0" w:color="auto"/>
            </w:tcBorders>
          </w:tcPr>
          <w:p w14:paraId="55E801C5" w14:textId="77777777" w:rsidR="00A22132" w:rsidRPr="00183043" w:rsidRDefault="00A22132" w:rsidP="003462C2">
            <w:pPr>
              <w:keepNext/>
              <w:overflowPunct w:val="0"/>
              <w:autoSpaceDE w:val="0"/>
              <w:autoSpaceDN w:val="0"/>
              <w:adjustRightInd w:val="0"/>
              <w:spacing w:after="0" w:line="240" w:lineRule="auto"/>
              <w:jc w:val="center"/>
              <w:textAlignment w:val="baseline"/>
              <w:rPr>
                <w:rFonts w:ascii="Trebuchet MS" w:hAnsi="Trebuchet MS"/>
                <w:b/>
                <w:sz w:val="20"/>
                <w:szCs w:val="20"/>
              </w:rPr>
            </w:pPr>
            <w:r w:rsidRPr="00183043">
              <w:rPr>
                <w:rFonts w:ascii="Trebuchet MS" w:hAnsi="Trebuchet MS"/>
                <w:b/>
                <w:sz w:val="20"/>
                <w:szCs w:val="20"/>
              </w:rPr>
              <w:t>Features of syntactic structures in English</w:t>
            </w:r>
          </w:p>
        </w:tc>
      </w:tr>
      <w:tr w:rsidR="00A22132" w:rsidRPr="00183043" w14:paraId="07B34E22" w14:textId="77777777" w:rsidTr="003462C2">
        <w:trPr>
          <w:cantSplit/>
        </w:trPr>
        <w:tc>
          <w:tcPr>
            <w:tcW w:w="9620" w:type="dxa"/>
            <w:gridSpan w:val="2"/>
            <w:tcBorders>
              <w:top w:val="single" w:sz="4" w:space="0" w:color="auto"/>
            </w:tcBorders>
          </w:tcPr>
          <w:p w14:paraId="402FE00E"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Word order</w:t>
            </w:r>
          </w:p>
        </w:tc>
      </w:tr>
      <w:tr w:rsidR="00A22132" w:rsidRPr="00183043" w14:paraId="37B9F541" w14:textId="77777777" w:rsidTr="003462C2">
        <w:trPr>
          <w:cantSplit/>
        </w:trPr>
        <w:tc>
          <w:tcPr>
            <w:tcW w:w="4810" w:type="dxa"/>
          </w:tcPr>
          <w:p w14:paraId="04C9280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Flexible word order - subject, predicate, verb: Subject-Object-Verb</w:t>
            </w:r>
          </w:p>
        </w:tc>
        <w:tc>
          <w:tcPr>
            <w:tcW w:w="4810" w:type="dxa"/>
          </w:tcPr>
          <w:p w14:paraId="341228F4"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The typical word order in a sentence is subject, verb and predicate: Subject-Verb-Object</w:t>
            </w:r>
          </w:p>
        </w:tc>
      </w:tr>
      <w:tr w:rsidR="00A22132" w:rsidRPr="00183043" w14:paraId="1FCB0C68" w14:textId="77777777" w:rsidTr="003462C2">
        <w:trPr>
          <w:cantSplit/>
        </w:trPr>
        <w:tc>
          <w:tcPr>
            <w:tcW w:w="9620" w:type="dxa"/>
            <w:gridSpan w:val="2"/>
          </w:tcPr>
          <w:p w14:paraId="74028591"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Use of cases</w:t>
            </w:r>
          </w:p>
        </w:tc>
      </w:tr>
      <w:tr w:rsidR="00A22132" w:rsidRPr="00183043" w14:paraId="60824432" w14:textId="77777777" w:rsidTr="003462C2">
        <w:trPr>
          <w:cantSplit/>
        </w:trPr>
        <w:tc>
          <w:tcPr>
            <w:tcW w:w="4810" w:type="dxa"/>
          </w:tcPr>
          <w:p w14:paraId="4BA7A7A8"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A rich system of cases expresses syntactic relationships in a sentence. Words change cases depending on their role in the sentence.  </w:t>
            </w:r>
          </w:p>
        </w:tc>
        <w:tc>
          <w:tcPr>
            <w:tcW w:w="4810" w:type="dxa"/>
          </w:tcPr>
          <w:p w14:paraId="79D7A282"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Case use is less active, and the order of words and prepositions determines most of the syntactic relationships.</w:t>
            </w:r>
          </w:p>
        </w:tc>
      </w:tr>
      <w:tr w:rsidR="00A22132" w:rsidRPr="00183043" w14:paraId="250D9343" w14:textId="77777777" w:rsidTr="003462C2">
        <w:trPr>
          <w:cantSplit/>
        </w:trPr>
        <w:tc>
          <w:tcPr>
            <w:tcW w:w="9620" w:type="dxa"/>
            <w:gridSpan w:val="2"/>
          </w:tcPr>
          <w:p w14:paraId="007F0C75"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Use of articles</w:t>
            </w:r>
          </w:p>
        </w:tc>
      </w:tr>
      <w:tr w:rsidR="00A22132" w:rsidRPr="00183043" w14:paraId="67FFCAE0" w14:textId="77777777" w:rsidTr="003462C2">
        <w:trPr>
          <w:cantSplit/>
        </w:trPr>
        <w:tc>
          <w:tcPr>
            <w:tcW w:w="4810" w:type="dxa"/>
          </w:tcPr>
          <w:p w14:paraId="14D73202"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There are no articles; nouns can be identified by context or by using words such as "that," "this," or "which."</w:t>
            </w:r>
          </w:p>
        </w:tc>
        <w:tc>
          <w:tcPr>
            <w:tcW w:w="4810" w:type="dxa"/>
          </w:tcPr>
          <w:p w14:paraId="1EA62C57"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Articles (definite and indefinite) are used to identify nouns.</w:t>
            </w:r>
          </w:p>
        </w:tc>
      </w:tr>
      <w:tr w:rsidR="00A22132" w:rsidRPr="00183043" w14:paraId="173F9C5C" w14:textId="77777777" w:rsidTr="003462C2">
        <w:trPr>
          <w:cantSplit/>
        </w:trPr>
        <w:tc>
          <w:tcPr>
            <w:tcW w:w="9620" w:type="dxa"/>
            <w:gridSpan w:val="2"/>
          </w:tcPr>
          <w:p w14:paraId="5B16DD96"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Verb forms</w:t>
            </w:r>
          </w:p>
        </w:tc>
      </w:tr>
      <w:tr w:rsidR="00A22132" w:rsidRPr="00183043" w14:paraId="7B84A39F" w14:textId="77777777" w:rsidTr="003462C2">
        <w:trPr>
          <w:cantSplit/>
        </w:trPr>
        <w:tc>
          <w:tcPr>
            <w:tcW w:w="4810" w:type="dxa"/>
          </w:tcPr>
          <w:p w14:paraId="7E5E393A"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Persons and numbers can modify verbs and have different verb and tense forms.  </w:t>
            </w:r>
          </w:p>
        </w:tc>
        <w:tc>
          <w:tcPr>
            <w:tcW w:w="4810" w:type="dxa"/>
          </w:tcPr>
          <w:p w14:paraId="7FC67508"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Although there are tense forms, verbs only change for person and number in the present tense.</w:t>
            </w:r>
          </w:p>
        </w:tc>
      </w:tr>
      <w:tr w:rsidR="00A22132" w:rsidRPr="00183043" w14:paraId="726282DB" w14:textId="77777777" w:rsidTr="003462C2">
        <w:trPr>
          <w:cantSplit/>
        </w:trPr>
        <w:tc>
          <w:tcPr>
            <w:tcW w:w="9620" w:type="dxa"/>
            <w:gridSpan w:val="2"/>
          </w:tcPr>
          <w:p w14:paraId="2A86045F"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Structure of the questions</w:t>
            </w:r>
          </w:p>
        </w:tc>
      </w:tr>
      <w:tr w:rsidR="00A22132" w:rsidRPr="00183043" w14:paraId="566A2B0E" w14:textId="77777777" w:rsidTr="003462C2">
        <w:trPr>
          <w:cantSplit/>
        </w:trPr>
        <w:tc>
          <w:tcPr>
            <w:tcW w:w="4810" w:type="dxa"/>
          </w:tcPr>
          <w:p w14:paraId="4842FD4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lastRenderedPageBreak/>
              <w:t>Changing the tone or adding introductory words is often used to form questions.</w:t>
            </w:r>
          </w:p>
        </w:tc>
        <w:tc>
          <w:tcPr>
            <w:tcW w:w="4810" w:type="dxa"/>
          </w:tcPr>
          <w:p w14:paraId="4CFC429F"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Questions often form by inversing the subject and verb or using auxiliary verbs. </w:t>
            </w:r>
          </w:p>
          <w:p w14:paraId="0494AAD4"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p>
        </w:tc>
      </w:tr>
    </w:tbl>
    <w:p w14:paraId="4202A016" w14:textId="77777777" w:rsidR="00A22132" w:rsidRPr="00183043" w:rsidRDefault="00A22132" w:rsidP="003462C2">
      <w:pPr>
        <w:spacing w:after="0" w:line="240" w:lineRule="auto"/>
        <w:jc w:val="both"/>
        <w:rPr>
          <w:rFonts w:ascii="Trebuchet MS" w:hAnsi="Trebuchet MS"/>
          <w:sz w:val="20"/>
          <w:szCs w:val="20"/>
        </w:rPr>
      </w:pPr>
    </w:p>
    <w:p w14:paraId="79C44A53" w14:textId="77777777" w:rsidR="00A22132" w:rsidRPr="00183043" w:rsidRDefault="00A22132" w:rsidP="003462C2">
      <w:pPr>
        <w:keepNext/>
        <w:spacing w:after="0" w:line="240" w:lineRule="auto"/>
        <w:jc w:val="both"/>
        <w:rPr>
          <w:rFonts w:ascii="Trebuchet MS" w:hAnsi="Trebuchet MS"/>
          <w:sz w:val="20"/>
          <w:szCs w:val="20"/>
        </w:rPr>
      </w:pPr>
      <w:r w:rsidRPr="00183043">
        <w:rPr>
          <w:rFonts w:ascii="Trebuchet MS" w:hAnsi="Trebuchet MS"/>
          <w:b/>
          <w:sz w:val="20"/>
          <w:szCs w:val="20"/>
        </w:rPr>
        <w:t>Table 2</w:t>
      </w:r>
      <w:r w:rsidRPr="00183043">
        <w:rPr>
          <w:rFonts w:ascii="Trebuchet MS" w:hAnsi="Trebuchet MS"/>
          <w:sz w:val="20"/>
          <w:szCs w:val="20"/>
        </w:rPr>
        <w:t>.</w:t>
      </w:r>
      <w:bookmarkStart w:id="4" w:name="_Hlk184757565"/>
      <w:r w:rsidRPr="00183043">
        <w:rPr>
          <w:rFonts w:ascii="Trebuchet MS" w:hAnsi="Trebuchet MS"/>
          <w:sz w:val="20"/>
          <w:szCs w:val="20"/>
        </w:rPr>
        <w:t xml:space="preserve"> Peculiarities of writing secondary scientific texts in English and Ukrainian</w:t>
      </w:r>
      <w:bookmarkEnd w:id="4"/>
    </w:p>
    <w:tbl>
      <w:tblPr>
        <w:tblW w:w="0" w:type="auto"/>
        <w:tblBorders>
          <w:top w:val="single" w:sz="4" w:space="0" w:color="auto"/>
          <w:bottom w:val="single" w:sz="4" w:space="0" w:color="auto"/>
        </w:tblBorders>
        <w:tblLook w:val="04A0" w:firstRow="1" w:lastRow="0" w:firstColumn="1" w:lastColumn="0" w:noHBand="0" w:noVBand="1"/>
      </w:tblPr>
      <w:tblGrid>
        <w:gridCol w:w="4364"/>
        <w:gridCol w:w="4356"/>
      </w:tblGrid>
      <w:tr w:rsidR="00A22132" w:rsidRPr="00183043" w14:paraId="5E088CBE" w14:textId="77777777" w:rsidTr="000D5529">
        <w:tc>
          <w:tcPr>
            <w:tcW w:w="4810" w:type="dxa"/>
            <w:tcBorders>
              <w:top w:val="single" w:sz="4" w:space="0" w:color="auto"/>
              <w:bottom w:val="single" w:sz="4" w:space="0" w:color="auto"/>
            </w:tcBorders>
          </w:tcPr>
          <w:p w14:paraId="7A64464A" w14:textId="77777777" w:rsidR="00A22132" w:rsidRPr="00183043" w:rsidRDefault="00A22132" w:rsidP="003462C2">
            <w:pPr>
              <w:keepNext/>
              <w:overflowPunct w:val="0"/>
              <w:autoSpaceDE w:val="0"/>
              <w:autoSpaceDN w:val="0"/>
              <w:adjustRightInd w:val="0"/>
              <w:spacing w:after="0" w:line="240" w:lineRule="auto"/>
              <w:jc w:val="center"/>
              <w:textAlignment w:val="baseline"/>
              <w:rPr>
                <w:rFonts w:ascii="Trebuchet MS" w:hAnsi="Trebuchet MS"/>
                <w:b/>
                <w:sz w:val="20"/>
                <w:szCs w:val="20"/>
              </w:rPr>
            </w:pPr>
            <w:r w:rsidRPr="00183043">
              <w:rPr>
                <w:rFonts w:ascii="Trebuchet MS" w:hAnsi="Trebuchet MS"/>
                <w:b/>
                <w:sz w:val="20"/>
                <w:szCs w:val="20"/>
              </w:rPr>
              <w:t>Peculiarities of writing secondary scientific texts in Ukrainian</w:t>
            </w:r>
          </w:p>
        </w:tc>
        <w:tc>
          <w:tcPr>
            <w:tcW w:w="4810" w:type="dxa"/>
            <w:tcBorders>
              <w:top w:val="single" w:sz="4" w:space="0" w:color="auto"/>
              <w:bottom w:val="single" w:sz="4" w:space="0" w:color="auto"/>
            </w:tcBorders>
          </w:tcPr>
          <w:p w14:paraId="73E973B3" w14:textId="77777777" w:rsidR="00A22132" w:rsidRPr="00183043" w:rsidRDefault="00A22132" w:rsidP="003462C2">
            <w:pPr>
              <w:keepNext/>
              <w:overflowPunct w:val="0"/>
              <w:autoSpaceDE w:val="0"/>
              <w:autoSpaceDN w:val="0"/>
              <w:adjustRightInd w:val="0"/>
              <w:spacing w:after="0" w:line="240" w:lineRule="auto"/>
              <w:jc w:val="center"/>
              <w:textAlignment w:val="baseline"/>
              <w:rPr>
                <w:rFonts w:ascii="Trebuchet MS" w:hAnsi="Trebuchet MS"/>
                <w:b/>
                <w:sz w:val="20"/>
                <w:szCs w:val="20"/>
              </w:rPr>
            </w:pPr>
            <w:r w:rsidRPr="00183043">
              <w:rPr>
                <w:rFonts w:ascii="Trebuchet MS" w:hAnsi="Trebuchet MS"/>
                <w:b/>
                <w:sz w:val="20"/>
                <w:szCs w:val="20"/>
              </w:rPr>
              <w:t>Peculiarities of writing secondary scientific texts in English</w:t>
            </w:r>
          </w:p>
        </w:tc>
      </w:tr>
      <w:tr w:rsidR="00A22132" w:rsidRPr="00183043" w14:paraId="33F89FC0" w14:textId="77777777" w:rsidTr="000D5529">
        <w:tc>
          <w:tcPr>
            <w:tcW w:w="9620" w:type="dxa"/>
            <w:gridSpan w:val="2"/>
            <w:tcBorders>
              <w:top w:val="single" w:sz="4" w:space="0" w:color="auto"/>
            </w:tcBorders>
          </w:tcPr>
          <w:p w14:paraId="090C3276"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b/>
                <w:sz w:val="20"/>
                <w:szCs w:val="20"/>
              </w:rPr>
            </w:pPr>
            <w:r w:rsidRPr="00183043">
              <w:rPr>
                <w:rFonts w:ascii="Trebuchet MS" w:hAnsi="Trebuchet MS"/>
                <w:b/>
                <w:sz w:val="20"/>
                <w:szCs w:val="20"/>
              </w:rPr>
              <w:t>Reviews</w:t>
            </w:r>
          </w:p>
        </w:tc>
      </w:tr>
      <w:tr w:rsidR="00A22132" w:rsidRPr="00183043" w14:paraId="057ECBB6" w14:textId="77777777" w:rsidTr="000D5529">
        <w:tc>
          <w:tcPr>
            <w:tcW w:w="4810" w:type="dxa"/>
          </w:tcPr>
          <w:p w14:paraId="64155C25"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flexibility of word usage; </w:t>
            </w:r>
          </w:p>
          <w:p w14:paraId="227CD7A7"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syntactic diversity; </w:t>
            </w:r>
          </w:p>
          <w:p w14:paraId="2A69DDD6"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detailed description.</w:t>
            </w:r>
          </w:p>
        </w:tc>
        <w:tc>
          <w:tcPr>
            <w:tcW w:w="4810" w:type="dxa"/>
          </w:tcPr>
          <w:p w14:paraId="3A702F1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straightforward and clear style;</w:t>
            </w:r>
          </w:p>
          <w:p w14:paraId="7CCC333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paragraph structuring;</w:t>
            </w:r>
          </w:p>
          <w:p w14:paraId="40D6A4D8"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use of academic language.</w:t>
            </w:r>
          </w:p>
        </w:tc>
      </w:tr>
      <w:tr w:rsidR="00A22132" w:rsidRPr="00183043" w14:paraId="4AF6FAC7" w14:textId="77777777" w:rsidTr="000D5529">
        <w:tc>
          <w:tcPr>
            <w:tcW w:w="9620" w:type="dxa"/>
            <w:gridSpan w:val="2"/>
          </w:tcPr>
          <w:p w14:paraId="6C59C567"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b/>
                <w:sz w:val="20"/>
                <w:szCs w:val="20"/>
              </w:rPr>
            </w:pPr>
            <w:r w:rsidRPr="00183043">
              <w:rPr>
                <w:rFonts w:ascii="Trebuchet MS" w:hAnsi="Trebuchet MS"/>
                <w:b/>
                <w:sz w:val="20"/>
                <w:szCs w:val="20"/>
              </w:rPr>
              <w:t>Abstracts to scientific papers</w:t>
            </w:r>
          </w:p>
        </w:tc>
      </w:tr>
      <w:tr w:rsidR="00A22132" w:rsidRPr="00183043" w14:paraId="30C24425" w14:textId="77777777" w:rsidTr="000D5529">
        <w:tc>
          <w:tcPr>
            <w:tcW w:w="4810" w:type="dxa"/>
          </w:tcPr>
          <w:p w14:paraId="7FFF6F98"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Adherence to the structure:</w:t>
            </w:r>
          </w:p>
          <w:p w14:paraId="0569091E"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description of the study;</w:t>
            </w:r>
          </w:p>
          <w:p w14:paraId="298F70C8"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research methodology;</w:t>
            </w:r>
          </w:p>
          <w:p w14:paraId="7EE67AE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results;</w:t>
            </w:r>
          </w:p>
          <w:p w14:paraId="6B06C0DE"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conclusions.</w:t>
            </w:r>
          </w:p>
        </w:tc>
        <w:tc>
          <w:tcPr>
            <w:tcW w:w="4810" w:type="dxa"/>
          </w:tcPr>
          <w:p w14:paraId="7D21FEB4"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Adherence to the structure: </w:t>
            </w:r>
          </w:p>
          <w:p w14:paraId="1C353B8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a brief description;</w:t>
            </w:r>
          </w:p>
          <w:p w14:paraId="413A42F3"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research methods;</w:t>
            </w:r>
          </w:p>
          <w:p w14:paraId="73273CF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results and conclusions;</w:t>
            </w:r>
          </w:p>
          <w:p w14:paraId="435BB883"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keywords.</w:t>
            </w:r>
          </w:p>
        </w:tc>
      </w:tr>
      <w:tr w:rsidR="00A22132" w:rsidRPr="00183043" w14:paraId="1AF5E28C" w14:textId="77777777" w:rsidTr="000D5529">
        <w:tc>
          <w:tcPr>
            <w:tcW w:w="9620" w:type="dxa"/>
            <w:gridSpan w:val="2"/>
          </w:tcPr>
          <w:p w14:paraId="27BD0F04"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b/>
                <w:sz w:val="20"/>
                <w:szCs w:val="20"/>
              </w:rPr>
            </w:pPr>
            <w:r w:rsidRPr="00183043">
              <w:rPr>
                <w:rFonts w:ascii="Trebuchet MS" w:hAnsi="Trebuchet MS"/>
                <w:b/>
                <w:sz w:val="20"/>
                <w:szCs w:val="20"/>
              </w:rPr>
              <w:t>Summary</w:t>
            </w:r>
          </w:p>
        </w:tc>
      </w:tr>
      <w:tr w:rsidR="00A22132" w:rsidRPr="00183043" w14:paraId="287D1F58" w14:textId="77777777" w:rsidTr="000D5529">
        <w:tc>
          <w:tcPr>
            <w:tcW w:w="4810" w:type="dxa"/>
          </w:tcPr>
          <w:p w14:paraId="6600E362"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flexibility in the use of words; </w:t>
            </w:r>
          </w:p>
          <w:p w14:paraId="4B200E3A"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use of cases; </w:t>
            </w:r>
          </w:p>
          <w:p w14:paraId="27CEA8EE"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detailed descriptions. </w:t>
            </w:r>
          </w:p>
          <w:p w14:paraId="3E336E7B"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p>
        </w:tc>
        <w:tc>
          <w:tcPr>
            <w:tcW w:w="4810" w:type="dxa"/>
          </w:tcPr>
          <w:p w14:paraId="56222B1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straightforward and clear style; </w:t>
            </w:r>
          </w:p>
          <w:p w14:paraId="77DCEDD8"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Paragraph structuring; </w:t>
            </w:r>
          </w:p>
          <w:p w14:paraId="719D7066"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use of academic language. </w:t>
            </w:r>
          </w:p>
          <w:p w14:paraId="3FEDFFDA"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p>
        </w:tc>
      </w:tr>
      <w:tr w:rsidR="00A22132" w:rsidRPr="00183043" w14:paraId="1A76A5A0" w14:textId="77777777" w:rsidTr="000D5529">
        <w:tc>
          <w:tcPr>
            <w:tcW w:w="9620" w:type="dxa"/>
            <w:gridSpan w:val="2"/>
          </w:tcPr>
          <w:p w14:paraId="632841F1"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b/>
                <w:sz w:val="20"/>
                <w:szCs w:val="20"/>
              </w:rPr>
            </w:pPr>
            <w:r w:rsidRPr="00183043">
              <w:rPr>
                <w:rFonts w:ascii="Trebuchet MS" w:hAnsi="Trebuchet MS"/>
                <w:b/>
                <w:sz w:val="20"/>
                <w:szCs w:val="20"/>
              </w:rPr>
              <w:t>Abstracts of the conference</w:t>
            </w:r>
          </w:p>
        </w:tc>
      </w:tr>
      <w:tr w:rsidR="00A22132" w:rsidRPr="00183043" w14:paraId="31D0FBD1" w14:textId="77777777" w:rsidTr="000D5529">
        <w:tc>
          <w:tcPr>
            <w:tcW w:w="4810" w:type="dxa"/>
          </w:tcPr>
          <w:p w14:paraId="54BCB441"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richness of word usage; </w:t>
            </w:r>
          </w:p>
          <w:p w14:paraId="665C063D"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flexibility of grammatical structures;</w:t>
            </w:r>
          </w:p>
          <w:p w14:paraId="73685030"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descriptiveness.</w:t>
            </w:r>
          </w:p>
        </w:tc>
        <w:tc>
          <w:tcPr>
            <w:tcW w:w="4810" w:type="dxa"/>
          </w:tcPr>
          <w:p w14:paraId="03D92F36"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straightforward and concise style; </w:t>
            </w:r>
          </w:p>
          <w:p w14:paraId="3DF4E224"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academic style;</w:t>
            </w:r>
          </w:p>
          <w:p w14:paraId="76944967" w14:textId="77777777" w:rsidR="00A22132" w:rsidRPr="00183043" w:rsidRDefault="00A22132" w:rsidP="003462C2">
            <w:pPr>
              <w:overflowPunct w:val="0"/>
              <w:autoSpaceDE w:val="0"/>
              <w:autoSpaceDN w:val="0"/>
              <w:adjustRightInd w:val="0"/>
              <w:spacing w:after="0" w:line="240" w:lineRule="auto"/>
              <w:jc w:val="both"/>
              <w:textAlignment w:val="baseline"/>
              <w:rPr>
                <w:rFonts w:ascii="Trebuchet MS" w:hAnsi="Trebuchet MS"/>
                <w:sz w:val="20"/>
                <w:szCs w:val="20"/>
              </w:rPr>
            </w:pPr>
            <w:r w:rsidRPr="00183043">
              <w:rPr>
                <w:rFonts w:ascii="Trebuchet MS" w:hAnsi="Trebuchet MS"/>
                <w:sz w:val="20"/>
                <w:szCs w:val="20"/>
              </w:rPr>
              <w:t xml:space="preserve"> - structuring of information. </w:t>
            </w:r>
          </w:p>
        </w:tc>
      </w:tr>
    </w:tbl>
    <w:p w14:paraId="39593D18" w14:textId="77777777" w:rsidR="00A22132" w:rsidRPr="00183043" w:rsidRDefault="00A22132" w:rsidP="003462C2">
      <w:pPr>
        <w:pStyle w:val="ac"/>
        <w:jc w:val="both"/>
        <w:rPr>
          <w:rFonts w:ascii="Trebuchet MS" w:hAnsi="Trebuchet MS"/>
          <w:sz w:val="20"/>
          <w:szCs w:val="20"/>
          <w:lang w:val="en-US"/>
        </w:rPr>
      </w:pPr>
    </w:p>
    <w:p w14:paraId="2F899617"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The language in which reviews are written may affect their structure. </w:t>
      </w:r>
      <w:bookmarkStart w:id="5" w:name="_Hlk184768100"/>
      <w:r w:rsidRPr="00183043">
        <w:rPr>
          <w:rFonts w:ascii="Trebuchet MS" w:hAnsi="Trebuchet MS"/>
          <w:sz w:val="20"/>
          <w:szCs w:val="20"/>
        </w:rPr>
        <w:t>Reviews written in Ukrainian use a diverse system of words and phrases. In contrast, reviews written in English use a direct style, leading to concise and accurate expressions</w:t>
      </w:r>
      <w:bookmarkEnd w:id="5"/>
      <w:r w:rsidRPr="00183043">
        <w:rPr>
          <w:rFonts w:ascii="Trebuchet MS" w:hAnsi="Trebuchet MS"/>
          <w:sz w:val="20"/>
          <w:szCs w:val="20"/>
        </w:rPr>
        <w:t xml:space="preserve">. The structure of Ukrainian abstracts includes a complete description of the research topic. The English abstracts briefly describe the research topic, objectives, and relevance. </w:t>
      </w:r>
    </w:p>
    <w:p w14:paraId="4C4FB810"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There are also some differences in the structure of a CV in Ukrainian and English. Ukrainian resumes are characterised by more detailed descriptions, which leads to a more complex structure of a Ukrainian resume. There is a difference in the structure of conference abstracts in English and Ukrainian. Both language features and the accepted scientific style can cause differences. </w:t>
      </w:r>
    </w:p>
    <w:p w14:paraId="29551122" w14:textId="77777777" w:rsidR="00A22132" w:rsidRPr="00183043" w:rsidRDefault="00A22132" w:rsidP="00A22132">
      <w:pPr>
        <w:pStyle w:val="ac"/>
        <w:ind w:firstLine="284"/>
        <w:jc w:val="both"/>
        <w:rPr>
          <w:rFonts w:ascii="Trebuchet MS" w:hAnsi="Trebuchet MS"/>
          <w:sz w:val="20"/>
          <w:szCs w:val="20"/>
          <w:lang w:val="en-GB"/>
        </w:rPr>
      </w:pPr>
      <w:r w:rsidRPr="00183043">
        <w:rPr>
          <w:rFonts w:ascii="Trebuchet MS" w:hAnsi="Trebuchet MS"/>
          <w:sz w:val="20"/>
          <w:szCs w:val="20"/>
          <w:lang w:val="en-GB"/>
        </w:rPr>
        <w:t>The comparative analysis of 40 secondary academic texts of four different genres characterises the level of acceptability of secondary academic texts in English and Ukrainian and recommends their publication in academic journals (periodicals and special issues) and conference proceedings.</w:t>
      </w:r>
    </w:p>
    <w:p w14:paraId="3F7F1E97" w14:textId="77777777" w:rsidR="00A22132" w:rsidRPr="00183043" w:rsidRDefault="00A22132" w:rsidP="00CF238C">
      <w:pPr>
        <w:keepNext/>
        <w:spacing w:after="0" w:line="240" w:lineRule="auto"/>
        <w:jc w:val="center"/>
        <w:rPr>
          <w:rFonts w:ascii="Trebuchet MS" w:hAnsi="Trebuchet MS"/>
          <w:sz w:val="20"/>
          <w:szCs w:val="20"/>
        </w:rPr>
      </w:pPr>
    </w:p>
    <w:p w14:paraId="0AC56D83" w14:textId="77777777" w:rsidR="00A22132" w:rsidRPr="00183043" w:rsidRDefault="00CF238C" w:rsidP="00CF238C">
      <w:pPr>
        <w:keepNext/>
        <w:spacing w:after="0" w:line="240" w:lineRule="auto"/>
        <w:jc w:val="center"/>
        <w:rPr>
          <w:rFonts w:ascii="Trebuchet MS" w:hAnsi="Trebuchet MS"/>
          <w:iCs/>
          <w:sz w:val="20"/>
          <w:szCs w:val="20"/>
        </w:rPr>
      </w:pPr>
      <w:r w:rsidRPr="00CF238C">
        <w:rPr>
          <w:rFonts w:ascii="Trebuchet MS" w:hAnsi="Trebuchet MS"/>
          <w:b/>
          <w:noProof/>
          <w:sz w:val="20"/>
          <w:szCs w:val="20"/>
          <w:lang w:val="uk-UA" w:eastAsia="uk-UA"/>
        </w:rPr>
        <w:lastRenderedPageBreak/>
        <w:drawing>
          <wp:anchor distT="0" distB="0" distL="114300" distR="114300" simplePos="0" relativeHeight="251660288" behindDoc="0" locked="0" layoutInCell="1" allowOverlap="1" wp14:anchorId="62DBBE74" wp14:editId="23264BCC">
            <wp:simplePos x="0" y="0"/>
            <wp:positionH relativeFrom="column">
              <wp:align>center</wp:align>
            </wp:positionH>
            <wp:positionV relativeFrom="paragraph">
              <wp:posOffset>14605</wp:posOffset>
            </wp:positionV>
            <wp:extent cx="4971415" cy="3203575"/>
            <wp:effectExtent l="19050" t="0" r="19685" b="0"/>
            <wp:wrapTopAndBottom/>
            <wp:docPr id="86" name="Объект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A22132" w:rsidRPr="00CF238C">
        <w:rPr>
          <w:rFonts w:ascii="Trebuchet MS" w:hAnsi="Trebuchet MS"/>
          <w:b/>
          <w:noProof/>
          <w:sz w:val="20"/>
          <w:szCs w:val="20"/>
          <w:lang w:val="uk-UA" w:eastAsia="uk-UA"/>
        </w:rPr>
        <w:drawing>
          <wp:anchor distT="0" distB="0" distL="114300" distR="114300" simplePos="0" relativeHeight="251661312" behindDoc="0" locked="0" layoutInCell="1" allowOverlap="1" wp14:anchorId="0F369AEB" wp14:editId="3CE1D9A0">
            <wp:simplePos x="0" y="0"/>
            <wp:positionH relativeFrom="column">
              <wp:align>center</wp:align>
            </wp:positionH>
            <wp:positionV relativeFrom="paragraph">
              <wp:posOffset>3247390</wp:posOffset>
            </wp:positionV>
            <wp:extent cx="4973955" cy="2889250"/>
            <wp:effectExtent l="19050" t="0" r="17145" b="6350"/>
            <wp:wrapTopAndBottom/>
            <wp:docPr id="87" name="Объект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A22132" w:rsidRPr="00CF238C">
        <w:rPr>
          <w:rFonts w:ascii="Trebuchet MS" w:hAnsi="Trebuchet MS"/>
          <w:b/>
          <w:iCs/>
          <w:sz w:val="20"/>
          <w:szCs w:val="20"/>
        </w:rPr>
        <w:t>Figure 1.</w:t>
      </w:r>
      <w:r w:rsidR="00A22132" w:rsidRPr="00183043">
        <w:rPr>
          <w:rFonts w:ascii="Trebuchet MS" w:hAnsi="Trebuchet MS"/>
          <w:iCs/>
          <w:sz w:val="20"/>
          <w:szCs w:val="20"/>
        </w:rPr>
        <w:t xml:space="preserve"> Comparative analysis of the level of acceptance of secondary scientific texts for publication in English and Ukrainian</w:t>
      </w:r>
    </w:p>
    <w:p w14:paraId="5306E838" w14:textId="77777777" w:rsidR="00A22132" w:rsidRPr="00183043" w:rsidRDefault="00A22132" w:rsidP="00CF238C">
      <w:pPr>
        <w:spacing w:after="0" w:line="240" w:lineRule="auto"/>
        <w:jc w:val="center"/>
        <w:rPr>
          <w:rFonts w:ascii="Trebuchet MS" w:hAnsi="Trebuchet MS"/>
          <w:iCs/>
          <w:sz w:val="20"/>
          <w:szCs w:val="20"/>
        </w:rPr>
      </w:pPr>
      <w:r w:rsidRPr="00183043">
        <w:rPr>
          <w:rFonts w:ascii="Trebuchet MS" w:hAnsi="Trebuchet MS"/>
          <w:iCs/>
          <w:sz w:val="20"/>
          <w:szCs w:val="20"/>
        </w:rPr>
        <w:t>Source: author's development</w:t>
      </w:r>
    </w:p>
    <w:p w14:paraId="4B079DEF" w14:textId="77777777" w:rsidR="00CF238C" w:rsidRDefault="00CF238C" w:rsidP="00A22132">
      <w:pPr>
        <w:pStyle w:val="ac"/>
        <w:ind w:firstLine="284"/>
        <w:jc w:val="both"/>
        <w:rPr>
          <w:rFonts w:ascii="Trebuchet MS" w:hAnsi="Trebuchet MS"/>
          <w:sz w:val="20"/>
          <w:szCs w:val="20"/>
          <w:lang w:val="en-US"/>
        </w:rPr>
      </w:pPr>
    </w:p>
    <w:p w14:paraId="7E42C1BF"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There are 7 points for Ukrainian-language theses in the humanities and 6 for English-language theses. The CV and abstract have the same index. English-language reviews have a lower index than Ukrainian-language humanities reviews. The peculiarities of academic and scientific texts explain the indicators. The structure of humanitarian texts can be more diverse, emphasising style and emotional colouring. Linguistic means can be used to convey analytical and interpretive information.</w:t>
      </w:r>
    </w:p>
    <w:p w14:paraId="620FBA1D"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Texts with quotations and reflections affect the structure of the text. There are indicators for secondary research texts in the social sciences. There are 8 points for Ukrainian, 6 for English and 6 for abstracts. The structure of the text can be analysed in the social sciences. It focuses on the description and analysis of data. Medium-length sentences can combine both explanatory and argumentative elements. They can use technical terms and statistics.</w:t>
      </w:r>
    </w:p>
    <w:p w14:paraId="1063E2F3" w14:textId="77777777" w:rsidR="00A22132" w:rsidRPr="00183043" w:rsidRDefault="00A22132" w:rsidP="00A22132">
      <w:pPr>
        <w:pStyle w:val="ac"/>
        <w:ind w:firstLine="284"/>
        <w:jc w:val="both"/>
        <w:rPr>
          <w:rFonts w:ascii="Trebuchet MS" w:hAnsi="Trebuchet MS"/>
          <w:sz w:val="20"/>
          <w:szCs w:val="20"/>
          <w:lang w:val="en-GB"/>
        </w:rPr>
      </w:pPr>
      <w:r w:rsidRPr="00183043">
        <w:rPr>
          <w:rFonts w:ascii="Trebuchet MS" w:hAnsi="Trebuchet MS"/>
          <w:sz w:val="20"/>
          <w:szCs w:val="20"/>
        </w:rPr>
        <w:t xml:space="preserve">Natural sciences in </w:t>
      </w:r>
      <w:r w:rsidRPr="00183043">
        <w:rPr>
          <w:rFonts w:ascii="Trebuchet MS" w:hAnsi="Trebuchet MS"/>
          <w:sz w:val="20"/>
          <w:szCs w:val="20"/>
          <w:lang w:val="en-US"/>
        </w:rPr>
        <w:t>English and Ukrainian</w:t>
      </w:r>
      <w:r w:rsidRPr="00183043">
        <w:rPr>
          <w:rFonts w:ascii="Trebuchet MS" w:hAnsi="Trebuchet MS"/>
          <w:sz w:val="20"/>
          <w:szCs w:val="20"/>
        </w:rPr>
        <w:t xml:space="preserve"> languages received 7 points each, while summaries in English and Ukrainian received 8 and 7 points, respectively. Reviews in Ukrainian</w:t>
      </w:r>
      <w:r w:rsidRPr="00183043">
        <w:rPr>
          <w:rFonts w:ascii="Trebuchet MS" w:hAnsi="Trebuchet MS"/>
          <w:sz w:val="20"/>
          <w:szCs w:val="20"/>
          <w:lang w:val="en-GB"/>
        </w:rPr>
        <w:t xml:space="preserve"> got</w:t>
      </w:r>
      <w:r w:rsidRPr="00183043">
        <w:rPr>
          <w:rFonts w:ascii="Trebuchet MS" w:hAnsi="Trebuchet MS"/>
          <w:sz w:val="20"/>
          <w:szCs w:val="20"/>
        </w:rPr>
        <w:t xml:space="preserve"> 8 points, and 6 points in English. Science texts focus on accuracy and clarity of </w:t>
      </w:r>
      <w:r w:rsidRPr="00183043">
        <w:rPr>
          <w:rFonts w:ascii="Trebuchet MS" w:hAnsi="Trebuchet MS"/>
          <w:sz w:val="20"/>
          <w:szCs w:val="20"/>
        </w:rPr>
        <w:lastRenderedPageBreak/>
        <w:t xml:space="preserve">presentation. This may include extended and complex sentences. In secondary scientific texts, it is possible to find the following indicators: the logical sequence of thoughts and mathematical accuracy is what the technical sciences focus on. Simple sentences can express mathematical concepts. They may contain terms unique to the field of science. </w:t>
      </w:r>
      <w:r w:rsidRPr="00183043">
        <w:rPr>
          <w:rFonts w:ascii="Trebuchet MS" w:hAnsi="Trebuchet MS"/>
          <w:sz w:val="20"/>
          <w:szCs w:val="20"/>
          <w:lang w:val="en-GB"/>
        </w:rPr>
        <w:t>We offer the following practical recommendations for producing or editing secondary academic texts:</w:t>
      </w:r>
    </w:p>
    <w:p w14:paraId="630633C8"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1. Simple sentences are crucial. </w:t>
      </w:r>
    </w:p>
    <w:p w14:paraId="7FFD5FA3"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 xml:space="preserve">2. Paragraphs and sentences are logically connected. </w:t>
      </w:r>
    </w:p>
    <w:p w14:paraId="364AE434" w14:textId="77777777" w:rsidR="00A22132" w:rsidRPr="00183043" w:rsidRDefault="00A22132" w:rsidP="00A22132">
      <w:pPr>
        <w:pStyle w:val="ac"/>
        <w:ind w:firstLine="284"/>
        <w:jc w:val="both"/>
        <w:rPr>
          <w:rFonts w:ascii="Trebuchet MS" w:hAnsi="Trebuchet MS"/>
          <w:sz w:val="20"/>
          <w:szCs w:val="20"/>
        </w:rPr>
      </w:pPr>
      <w:r w:rsidRPr="00183043">
        <w:rPr>
          <w:rFonts w:ascii="Trebuchet MS" w:hAnsi="Trebuchet MS"/>
          <w:sz w:val="20"/>
          <w:szCs w:val="20"/>
        </w:rPr>
        <w:t>3. Text is more dynamic and engaging when sentences are different. Long sentences can provide more detail, while short sentences can emphasise key ideas.</w:t>
      </w:r>
    </w:p>
    <w:p w14:paraId="72217F9F" w14:textId="77777777" w:rsidR="00A22132" w:rsidRPr="00183043" w:rsidRDefault="00A22132" w:rsidP="00A22132">
      <w:pPr>
        <w:pStyle w:val="ac"/>
        <w:ind w:firstLine="284"/>
        <w:jc w:val="both"/>
        <w:rPr>
          <w:rFonts w:ascii="Trebuchet MS" w:hAnsi="Trebuchet MS"/>
          <w:sz w:val="20"/>
          <w:szCs w:val="20"/>
          <w:lang w:val="en-US"/>
        </w:rPr>
      </w:pPr>
      <w:r w:rsidRPr="00183043">
        <w:rPr>
          <w:rFonts w:ascii="Trebuchet MS" w:hAnsi="Trebuchet MS"/>
          <w:sz w:val="20"/>
          <w:szCs w:val="20"/>
        </w:rPr>
        <w:t>4. It should alternate different syntactic structures and sentence types to make the text more interesting and dynamic for the recipient.</w:t>
      </w:r>
    </w:p>
    <w:p w14:paraId="0A29E3B6" w14:textId="77777777" w:rsidR="00B5007F" w:rsidRPr="00183043" w:rsidRDefault="00B5007F" w:rsidP="00A22132">
      <w:pPr>
        <w:pStyle w:val="ac"/>
        <w:ind w:firstLine="284"/>
        <w:jc w:val="both"/>
        <w:rPr>
          <w:rFonts w:ascii="Trebuchet MS" w:hAnsi="Trebuchet MS"/>
          <w:sz w:val="20"/>
          <w:szCs w:val="20"/>
          <w:lang w:val="en-US"/>
        </w:rPr>
      </w:pPr>
    </w:p>
    <w:p w14:paraId="041174CB" w14:textId="77777777" w:rsidR="00574F88" w:rsidRPr="00183043" w:rsidRDefault="00574F88" w:rsidP="001C21A4">
      <w:pPr>
        <w:keepNext/>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DISCUSSION</w:t>
      </w:r>
    </w:p>
    <w:p w14:paraId="2CBA41A6" w14:textId="77777777" w:rsidR="00CB3AA4" w:rsidRPr="00183043" w:rsidRDefault="00CB3AA4" w:rsidP="00CB3AA4">
      <w:pPr>
        <w:pStyle w:val="ac"/>
        <w:ind w:firstLine="284"/>
        <w:jc w:val="both"/>
        <w:rPr>
          <w:rFonts w:ascii="Trebuchet MS" w:hAnsi="Trebuchet MS"/>
          <w:sz w:val="20"/>
          <w:szCs w:val="20"/>
        </w:rPr>
      </w:pPr>
      <w:r w:rsidRPr="00183043">
        <w:rPr>
          <w:rFonts w:ascii="Trebuchet MS" w:hAnsi="Trebuchet MS"/>
          <w:sz w:val="20"/>
          <w:szCs w:val="20"/>
        </w:rPr>
        <w:t>We agree with Nivala et al.</w:t>
      </w:r>
      <w:r w:rsidRPr="00183043">
        <w:rPr>
          <w:rFonts w:ascii="Trebuchet MS" w:hAnsi="Trebuchet MS"/>
          <w:color w:val="000000"/>
          <w:sz w:val="20"/>
          <w:szCs w:val="20"/>
          <w:vertAlign w:val="superscript"/>
        </w:rPr>
        <w:t>(</w:t>
      </w:r>
      <w:r>
        <w:fldChar w:fldCharType="begin"/>
      </w:r>
      <w:r>
        <w:instrText xml:space="preserve"> REF _Ref188265625 \r \h  \* MERGEFORMAT </w:instrText>
      </w:r>
      <w:r>
        <w:fldChar w:fldCharType="separate"/>
      </w:r>
      <w:r w:rsidRPr="00183043">
        <w:rPr>
          <w:rFonts w:ascii="Trebuchet MS" w:hAnsi="Trebuchet MS"/>
          <w:color w:val="000000"/>
          <w:sz w:val="20"/>
          <w:szCs w:val="20"/>
          <w:vertAlign w:val="superscript"/>
        </w:rPr>
        <w:t>24</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that creating an academic text to teach academic writing can be divided into three stages: planning, implementation, and control. The first stage is devoted to the planning of academic discourse, where the purpose of the text, the target audience, semantic realisation, and content structuring are determined. The second stage involves implementing and formulating the statement per the plan formed in the previous stage. At this stage, it is important to determine the typical syntactic structures. Repeated reading and editing of the text is important, as it allows it to finally acquire completeness, accuracy, logic, objectivity and linguistic correctness. It should be noted that at each stage, specific skills and abilities are updated</w:t>
      </w:r>
      <w:r w:rsidR="00D12AEC" w:rsidRPr="00183043">
        <w:rPr>
          <w:rFonts w:ascii="Trebuchet MS" w:hAnsi="Trebuchet MS"/>
          <w:sz w:val="20"/>
          <w:szCs w:val="20"/>
          <w:lang w:val="en-US"/>
        </w:rPr>
        <w:t>.</w:t>
      </w:r>
      <w:r w:rsidRPr="00183043">
        <w:rPr>
          <w:rFonts w:ascii="Trebuchet MS" w:hAnsi="Trebuchet MS"/>
          <w:sz w:val="20"/>
          <w:szCs w:val="20"/>
          <w:vertAlign w:val="superscript"/>
        </w:rPr>
        <w:t>(</w:t>
      </w:r>
      <w:r>
        <w:fldChar w:fldCharType="begin"/>
      </w:r>
      <w:r>
        <w:instrText xml:space="preserve"> REF _Ref188265632 \r \h  \* MERGEFORMAT </w:instrText>
      </w:r>
      <w:r>
        <w:fldChar w:fldCharType="separate"/>
      </w:r>
      <w:r w:rsidRPr="00183043">
        <w:rPr>
          <w:rFonts w:ascii="Trebuchet MS" w:hAnsi="Trebuchet MS"/>
          <w:sz w:val="20"/>
          <w:szCs w:val="20"/>
          <w:vertAlign w:val="superscript"/>
        </w:rPr>
        <w:t>25</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Creating a written text is not linear but involves repeatedly returning to the text with changes and editing. </w:t>
      </w:r>
    </w:p>
    <w:p w14:paraId="00755619" w14:textId="77777777" w:rsidR="00CB3AA4" w:rsidRPr="00183043" w:rsidRDefault="00CB3AA4" w:rsidP="00CB3AA4">
      <w:pPr>
        <w:pStyle w:val="ac"/>
        <w:ind w:firstLine="284"/>
        <w:jc w:val="both"/>
        <w:rPr>
          <w:rFonts w:ascii="Trebuchet MS" w:hAnsi="Trebuchet MS"/>
          <w:sz w:val="20"/>
          <w:szCs w:val="20"/>
        </w:rPr>
      </w:pPr>
      <w:r w:rsidRPr="00183043">
        <w:rPr>
          <w:rFonts w:ascii="Trebuchet MS" w:hAnsi="Trebuchet MS"/>
          <w:sz w:val="20"/>
          <w:szCs w:val="20"/>
        </w:rPr>
        <w:t>When creating a secondary academic text, it is important to predict the target audience, which may make the text more informative or technical. Texts of this type can be designed for both beginners and general audiences</w:t>
      </w:r>
      <w:r w:rsidR="00D12AEC" w:rsidRPr="00183043">
        <w:rPr>
          <w:rFonts w:ascii="Trebuchet MS" w:hAnsi="Trebuchet MS"/>
          <w:sz w:val="20"/>
          <w:szCs w:val="20"/>
          <w:lang w:val="en-US"/>
        </w:rPr>
        <w:t>.</w:t>
      </w:r>
      <w:r w:rsidRPr="00183043">
        <w:rPr>
          <w:rFonts w:ascii="Trebuchet MS" w:hAnsi="Trebuchet MS"/>
          <w:sz w:val="20"/>
          <w:szCs w:val="20"/>
          <w:vertAlign w:val="superscript"/>
        </w:rPr>
        <w:t>(</w:t>
      </w:r>
      <w:r>
        <w:fldChar w:fldCharType="begin"/>
      </w:r>
      <w:r>
        <w:instrText xml:space="preserve"> REF _Ref188265637 \r \h  \* MERGEFORMAT </w:instrText>
      </w:r>
      <w:r>
        <w:fldChar w:fldCharType="separate"/>
      </w:r>
      <w:r w:rsidRPr="00183043">
        <w:rPr>
          <w:rFonts w:ascii="Trebuchet MS" w:hAnsi="Trebuchet MS"/>
          <w:sz w:val="20"/>
          <w:szCs w:val="20"/>
          <w:vertAlign w:val="superscript"/>
        </w:rPr>
        <w:t>26</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For the humanities, syntax can be emotional, filled with various rhetorical figures that function precisely at the level of the syntactic organisation of the text</w:t>
      </w:r>
      <w:r w:rsidR="00893D73" w:rsidRPr="00183043">
        <w:rPr>
          <w:rFonts w:ascii="Trebuchet MS" w:hAnsi="Trebuchet MS"/>
          <w:sz w:val="20"/>
          <w:szCs w:val="20"/>
          <w:lang w:val="en-US"/>
        </w:rPr>
        <w:t>.</w:t>
      </w:r>
      <w:r w:rsidRPr="00183043">
        <w:rPr>
          <w:rFonts w:ascii="Trebuchet MS" w:hAnsi="Trebuchet MS"/>
          <w:sz w:val="20"/>
          <w:szCs w:val="20"/>
          <w:vertAlign w:val="superscript"/>
        </w:rPr>
        <w:t>(</w:t>
      </w:r>
      <w:r>
        <w:fldChar w:fldCharType="begin"/>
      </w:r>
      <w:r>
        <w:instrText xml:space="preserve"> REF _Ref188266019 \r \h  \* MERGEFORMAT </w:instrText>
      </w:r>
      <w:r>
        <w:fldChar w:fldCharType="separate"/>
      </w:r>
      <w:r w:rsidRPr="00183043">
        <w:rPr>
          <w:rFonts w:ascii="Trebuchet MS" w:hAnsi="Trebuchet MS"/>
          <w:sz w:val="20"/>
          <w:szCs w:val="20"/>
          <w:vertAlign w:val="superscript"/>
        </w:rPr>
        <w:t>27</w:t>
      </w:r>
      <w:r>
        <w:fldChar w:fldCharType="end"/>
      </w:r>
      <w:r w:rsidRPr="00183043">
        <w:rPr>
          <w:rFonts w:ascii="Trebuchet MS" w:hAnsi="Trebuchet MS"/>
          <w:sz w:val="20"/>
          <w:szCs w:val="20"/>
          <w:vertAlign w:val="superscript"/>
        </w:rPr>
        <w:t>)</w:t>
      </w:r>
      <w:r w:rsidRPr="00183043">
        <w:rPr>
          <w:rFonts w:ascii="Trebuchet MS" w:hAnsi="Trebuchet MS"/>
          <w:sz w:val="20"/>
          <w:szCs w:val="20"/>
        </w:rPr>
        <w:t xml:space="preserve"> Violation of syntactic norms can lead to the creation of communication barriers and distortion of trustworthy intentions and judgements in scientific communication. </w:t>
      </w:r>
    </w:p>
    <w:p w14:paraId="3074B9ED" w14:textId="77777777" w:rsidR="00CB3AA4" w:rsidRPr="00183043" w:rsidRDefault="00CB3AA4" w:rsidP="00CB3AA4">
      <w:pPr>
        <w:pStyle w:val="ac"/>
        <w:ind w:firstLine="284"/>
        <w:jc w:val="both"/>
        <w:rPr>
          <w:rFonts w:ascii="Trebuchet MS" w:hAnsi="Trebuchet MS"/>
          <w:sz w:val="20"/>
          <w:szCs w:val="20"/>
        </w:rPr>
      </w:pPr>
      <w:r w:rsidRPr="00183043">
        <w:rPr>
          <w:rFonts w:ascii="Trebuchet MS" w:hAnsi="Trebuchet MS"/>
          <w:sz w:val="20"/>
          <w:szCs w:val="20"/>
        </w:rPr>
        <w:t>When analysing a secondary academic (educational) text, we propose to distinguish the following lexical and grammatical features of a foreign language typical for academic written communication:</w:t>
      </w:r>
    </w:p>
    <w:p w14:paraId="090D7F76" w14:textId="77777777" w:rsidR="00CB3AA4" w:rsidRPr="00183043" w:rsidRDefault="00CB3AA4" w:rsidP="00CB3AA4">
      <w:pPr>
        <w:pStyle w:val="ac"/>
        <w:numPr>
          <w:ilvl w:val="0"/>
          <w:numId w:val="40"/>
        </w:numPr>
        <w:ind w:left="284" w:hanging="284"/>
        <w:jc w:val="both"/>
        <w:rPr>
          <w:rFonts w:ascii="Trebuchet MS" w:hAnsi="Trebuchet MS"/>
          <w:sz w:val="20"/>
          <w:szCs w:val="20"/>
        </w:rPr>
      </w:pPr>
      <w:r w:rsidRPr="00183043">
        <w:rPr>
          <w:rFonts w:ascii="Trebuchet MS" w:hAnsi="Trebuchet MS"/>
          <w:sz w:val="20"/>
          <w:szCs w:val="20"/>
        </w:rPr>
        <w:t>abstractness and generality lead to complex syntactic structures, such as conjunctive or non-conjunctive complex sentences;</w:t>
      </w:r>
    </w:p>
    <w:p w14:paraId="65DF7FFC" w14:textId="77777777" w:rsidR="00CB3AA4" w:rsidRPr="00183043" w:rsidRDefault="00CB3AA4" w:rsidP="00CB3AA4">
      <w:pPr>
        <w:pStyle w:val="ac"/>
        <w:numPr>
          <w:ilvl w:val="0"/>
          <w:numId w:val="40"/>
        </w:numPr>
        <w:ind w:left="284" w:hanging="284"/>
        <w:jc w:val="both"/>
        <w:rPr>
          <w:rFonts w:ascii="Trebuchet MS" w:hAnsi="Trebuchet MS"/>
          <w:sz w:val="20"/>
          <w:szCs w:val="20"/>
        </w:rPr>
      </w:pPr>
      <w:r w:rsidRPr="00183043">
        <w:rPr>
          <w:rFonts w:ascii="Trebuchet MS" w:hAnsi="Trebuchet MS"/>
          <w:sz w:val="20"/>
          <w:szCs w:val="20"/>
        </w:rPr>
        <w:t>use of one-part impersonal and indefinite sentences;</w:t>
      </w:r>
    </w:p>
    <w:p w14:paraId="4A3DCBE3" w14:textId="77777777" w:rsidR="00CB3AA4" w:rsidRPr="00183043" w:rsidRDefault="00CB3AA4" w:rsidP="00CB3AA4">
      <w:pPr>
        <w:pStyle w:val="ac"/>
        <w:numPr>
          <w:ilvl w:val="0"/>
          <w:numId w:val="40"/>
        </w:numPr>
        <w:ind w:left="284" w:hanging="284"/>
        <w:jc w:val="both"/>
        <w:rPr>
          <w:rFonts w:ascii="Trebuchet MS" w:hAnsi="Trebuchet MS"/>
          <w:sz w:val="20"/>
          <w:szCs w:val="20"/>
        </w:rPr>
      </w:pPr>
      <w:r w:rsidRPr="00183043">
        <w:rPr>
          <w:rFonts w:ascii="Trebuchet MS" w:hAnsi="Trebuchet MS"/>
          <w:sz w:val="20"/>
          <w:szCs w:val="20"/>
        </w:rPr>
        <w:t>consistency and logic are emphasised (use of connecting sentences, cause-and-effect conjunctions, introductory words and phrases, text rubrication);</w:t>
      </w:r>
    </w:p>
    <w:p w14:paraId="3FC3A3D3" w14:textId="77777777" w:rsidR="00CB3AA4" w:rsidRPr="00183043" w:rsidRDefault="00CB3AA4" w:rsidP="00CB3AA4">
      <w:pPr>
        <w:pStyle w:val="ac"/>
        <w:numPr>
          <w:ilvl w:val="0"/>
          <w:numId w:val="40"/>
        </w:numPr>
        <w:ind w:left="284" w:hanging="284"/>
        <w:jc w:val="both"/>
        <w:rPr>
          <w:rFonts w:ascii="Trebuchet MS" w:hAnsi="Trebuchet MS"/>
          <w:sz w:val="20"/>
          <w:szCs w:val="20"/>
        </w:rPr>
      </w:pPr>
      <w:r w:rsidRPr="00183043">
        <w:rPr>
          <w:rFonts w:ascii="Trebuchet MS" w:hAnsi="Trebuchet MS"/>
          <w:sz w:val="20"/>
          <w:szCs w:val="20"/>
        </w:rPr>
        <w:t>use of bibliographic references, citations, and hyperlinks in the text;</w:t>
      </w:r>
    </w:p>
    <w:p w14:paraId="4F709FC1" w14:textId="77777777" w:rsidR="00CB3AA4" w:rsidRPr="00183043" w:rsidRDefault="00CB3AA4" w:rsidP="00CB3AA4">
      <w:pPr>
        <w:pStyle w:val="ac"/>
        <w:numPr>
          <w:ilvl w:val="0"/>
          <w:numId w:val="40"/>
        </w:numPr>
        <w:ind w:left="284" w:hanging="284"/>
        <w:jc w:val="both"/>
        <w:rPr>
          <w:rFonts w:ascii="Trebuchet MS" w:hAnsi="Trebuchet MS"/>
          <w:sz w:val="20"/>
          <w:szCs w:val="20"/>
        </w:rPr>
      </w:pPr>
      <w:r w:rsidRPr="00183043">
        <w:rPr>
          <w:rFonts w:ascii="Trebuchet MS" w:hAnsi="Trebuchet MS"/>
          <w:sz w:val="20"/>
          <w:szCs w:val="20"/>
        </w:rPr>
        <w:t>synonymy of syntactic constructions for the dynamism of the scientific style;</w:t>
      </w:r>
    </w:p>
    <w:p w14:paraId="2EADA19B" w14:textId="77777777" w:rsidR="00CB3AA4" w:rsidRPr="00183043" w:rsidRDefault="00CB3AA4" w:rsidP="00CB3AA4">
      <w:pPr>
        <w:pStyle w:val="ac"/>
        <w:numPr>
          <w:ilvl w:val="0"/>
          <w:numId w:val="40"/>
        </w:numPr>
        <w:ind w:left="284" w:hanging="284"/>
        <w:jc w:val="both"/>
        <w:rPr>
          <w:rFonts w:ascii="Trebuchet MS" w:hAnsi="Trebuchet MS"/>
          <w:sz w:val="20"/>
          <w:szCs w:val="20"/>
        </w:rPr>
      </w:pPr>
      <w:r w:rsidRPr="00183043">
        <w:rPr>
          <w:rFonts w:ascii="Trebuchet MS" w:hAnsi="Trebuchet MS"/>
          <w:sz w:val="20"/>
          <w:szCs w:val="20"/>
        </w:rPr>
        <w:t>clarity and visualisation of the text (use of signs, formulas and visual aids (charts, graphs, diagrams, drawings, tables).</w:t>
      </w:r>
    </w:p>
    <w:p w14:paraId="561D7FC3" w14:textId="77777777" w:rsidR="00574F88" w:rsidRPr="00183043" w:rsidRDefault="00574F88" w:rsidP="00782651">
      <w:pPr>
        <w:pStyle w:val="Text"/>
        <w:spacing w:line="240" w:lineRule="auto"/>
        <w:ind w:firstLine="284"/>
        <w:rPr>
          <w:rFonts w:ascii="Trebuchet MS" w:hAnsi="Trebuchet MS"/>
          <w:bCs/>
        </w:rPr>
      </w:pPr>
    </w:p>
    <w:p w14:paraId="44BB4E7B" w14:textId="77777777" w:rsidR="00317FF1" w:rsidRPr="00183043" w:rsidRDefault="00154A48" w:rsidP="00782651">
      <w:pPr>
        <w:keepNext/>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CONCLUSION</w:t>
      </w:r>
    </w:p>
    <w:p w14:paraId="60BE9B13" w14:textId="77777777" w:rsidR="00CB3AA4" w:rsidRPr="00183043" w:rsidRDefault="00CB3AA4" w:rsidP="00CB3AA4">
      <w:pPr>
        <w:pStyle w:val="ac"/>
        <w:ind w:firstLine="284"/>
        <w:jc w:val="both"/>
        <w:rPr>
          <w:rFonts w:ascii="Trebuchet MS" w:hAnsi="Trebuchet MS"/>
          <w:sz w:val="20"/>
          <w:szCs w:val="20"/>
        </w:rPr>
      </w:pPr>
      <w:r w:rsidRPr="00183043">
        <w:rPr>
          <w:rFonts w:ascii="Trebuchet MS" w:hAnsi="Trebuchet MS"/>
          <w:sz w:val="20"/>
          <w:szCs w:val="20"/>
        </w:rPr>
        <w:t>Academic literacy is a reasonable basis for assessing the quality of academic and scientific texts. It allows for building assessment systems that help students develop as researchers, learn to formulate hypotheses and justify and convincingly prove their position using both metalinguistic and linguistic means. The syntax of academic texts should meet the following requirements: constructed (easily perceived) sentences with main blocks; absence of mergers, chains, and fragments; and logical and syntactic coherence.</w:t>
      </w:r>
    </w:p>
    <w:p w14:paraId="0B50124E" w14:textId="77777777" w:rsidR="00CB3AA4" w:rsidRPr="00183043" w:rsidRDefault="00CB3AA4" w:rsidP="00CB3AA4">
      <w:pPr>
        <w:pStyle w:val="ac"/>
        <w:ind w:firstLine="284"/>
        <w:jc w:val="both"/>
        <w:rPr>
          <w:rFonts w:ascii="Trebuchet MS" w:hAnsi="Trebuchet MS"/>
          <w:sz w:val="20"/>
          <w:szCs w:val="20"/>
        </w:rPr>
      </w:pPr>
      <w:r w:rsidRPr="00183043">
        <w:rPr>
          <w:rFonts w:ascii="Trebuchet MS" w:hAnsi="Trebuchet MS"/>
          <w:sz w:val="20"/>
          <w:szCs w:val="20"/>
        </w:rPr>
        <w:t xml:space="preserve">Secondary educational and scientific texts differ in the syntactic organisation of the text depending on the field of knowledge. For example, humanities texts are characterised by emotional syntax with rhetorical figures and an emphasis on interpretation, while technical texts are based on strict logic and argumentation. </w:t>
      </w:r>
      <w:r w:rsidRPr="00183043">
        <w:rPr>
          <w:rFonts w:ascii="Trebuchet MS" w:hAnsi="Trebuchet MS"/>
          <w:sz w:val="20"/>
          <w:szCs w:val="20"/>
          <w:lang w:val="en-GB"/>
        </w:rPr>
        <w:t>The presence of descriptive constructions and emotional colouring characterises the syntax of scientific texts in the humanities. In contrast, technical fields are characterised by analytical sentence structure and syntax based on logical grammatical constructions. The</w:t>
      </w:r>
      <w:r w:rsidRPr="00183043">
        <w:rPr>
          <w:rFonts w:ascii="Trebuchet MS" w:hAnsi="Trebuchet MS"/>
          <w:sz w:val="20"/>
          <w:szCs w:val="20"/>
        </w:rPr>
        <w:t xml:space="preserve"> structure of Ukrainian abstracts includes a complete description of the research topic. English abstracts briefly describe the </w:t>
      </w:r>
      <w:r w:rsidRPr="00183043">
        <w:rPr>
          <w:rFonts w:ascii="Trebuchet MS" w:hAnsi="Trebuchet MS"/>
          <w:sz w:val="20"/>
          <w:szCs w:val="20"/>
          <w:lang w:val="en-GB"/>
        </w:rPr>
        <w:t>research</w:t>
      </w:r>
      <w:r w:rsidRPr="00183043">
        <w:rPr>
          <w:rFonts w:ascii="Trebuchet MS" w:hAnsi="Trebuchet MS"/>
          <w:sz w:val="20"/>
          <w:szCs w:val="20"/>
        </w:rPr>
        <w:t xml:space="preserve"> topic, objectives, and relevance. </w:t>
      </w:r>
    </w:p>
    <w:p w14:paraId="19DAEB1E" w14:textId="77777777" w:rsidR="00CB3AA4" w:rsidRPr="00183043" w:rsidRDefault="00CB3AA4" w:rsidP="00CB3AA4">
      <w:pPr>
        <w:pStyle w:val="ac"/>
        <w:ind w:firstLine="284"/>
        <w:jc w:val="both"/>
        <w:rPr>
          <w:rFonts w:ascii="Trebuchet MS" w:hAnsi="Trebuchet MS"/>
          <w:sz w:val="20"/>
          <w:szCs w:val="20"/>
          <w:lang w:val="en-GB"/>
        </w:rPr>
      </w:pPr>
      <w:r w:rsidRPr="00183043">
        <w:rPr>
          <w:rFonts w:ascii="Trebuchet MS" w:hAnsi="Trebuchet MS"/>
          <w:sz w:val="20"/>
          <w:szCs w:val="20"/>
        </w:rPr>
        <w:lastRenderedPageBreak/>
        <w:t>There are also some differences between the structure of a CV in Ukrainian and English. Ukrainian resumes are characterised by more detailed descriptions, which leads to a more complex structure of a Ukrainian resume</w:t>
      </w:r>
      <w:r w:rsidRPr="00183043">
        <w:rPr>
          <w:rFonts w:ascii="Trebuchet MS" w:hAnsi="Trebuchet MS"/>
          <w:sz w:val="20"/>
          <w:szCs w:val="20"/>
          <w:lang w:val="en-GB"/>
        </w:rPr>
        <w:t>. In English, resumes have a three-part structure (introduction, body and conclusion), resembling a short version of a scientific essay.</w:t>
      </w:r>
    </w:p>
    <w:p w14:paraId="7E7A9AE3" w14:textId="77777777" w:rsidR="0072389B" w:rsidRPr="00183043" w:rsidRDefault="0072389B" w:rsidP="00782651">
      <w:pPr>
        <w:spacing w:after="0" w:line="240" w:lineRule="auto"/>
        <w:jc w:val="both"/>
        <w:rPr>
          <w:rFonts w:ascii="Trebuchet MS" w:eastAsia="Trebuchet MS" w:hAnsi="Trebuchet MS" w:cs="Trebuchet MS"/>
          <w:sz w:val="20"/>
          <w:szCs w:val="20"/>
          <w:lang w:val="en-GB"/>
        </w:rPr>
      </w:pPr>
    </w:p>
    <w:p w14:paraId="4094F11F" w14:textId="77777777" w:rsidR="0072389B" w:rsidRPr="00183043" w:rsidRDefault="0072389B" w:rsidP="00782651">
      <w:pPr>
        <w:keepNext/>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FINANCING</w:t>
      </w:r>
    </w:p>
    <w:p w14:paraId="2CF31971" w14:textId="77777777" w:rsidR="0072389B" w:rsidRPr="00183043" w:rsidRDefault="0072389B" w:rsidP="00782651">
      <w:pPr>
        <w:spacing w:after="0" w:line="240" w:lineRule="auto"/>
        <w:jc w:val="both"/>
        <w:rPr>
          <w:rFonts w:ascii="Trebuchet MS" w:eastAsia="Trebuchet MS" w:hAnsi="Trebuchet MS" w:cs="Trebuchet MS"/>
          <w:sz w:val="20"/>
          <w:szCs w:val="20"/>
          <w:lang w:val="en-US"/>
        </w:rPr>
      </w:pPr>
      <w:r w:rsidRPr="00183043">
        <w:rPr>
          <w:rFonts w:ascii="Trebuchet MS" w:eastAsia="Trebuchet MS" w:hAnsi="Trebuchet MS" w:cs="Trebuchet MS"/>
          <w:sz w:val="20"/>
          <w:szCs w:val="20"/>
          <w:lang w:val="en-US"/>
        </w:rPr>
        <w:t>The authors did not receive financing for the development of this research.</w:t>
      </w:r>
    </w:p>
    <w:p w14:paraId="0523BC1A" w14:textId="77777777" w:rsidR="0072389B" w:rsidRPr="00183043" w:rsidRDefault="0072389B" w:rsidP="00782651">
      <w:pPr>
        <w:spacing w:after="0" w:line="240" w:lineRule="auto"/>
        <w:jc w:val="both"/>
        <w:rPr>
          <w:rFonts w:ascii="Trebuchet MS" w:eastAsia="Trebuchet MS" w:hAnsi="Trebuchet MS" w:cs="Trebuchet MS"/>
          <w:sz w:val="20"/>
          <w:szCs w:val="20"/>
          <w:lang w:val="en-US"/>
        </w:rPr>
      </w:pPr>
    </w:p>
    <w:p w14:paraId="46F3DFD3" w14:textId="77777777" w:rsidR="0072389B" w:rsidRPr="00183043" w:rsidRDefault="0072389B" w:rsidP="00782651">
      <w:pPr>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CONFLICT OF INTEREST</w:t>
      </w:r>
    </w:p>
    <w:p w14:paraId="14DE8C34" w14:textId="77777777" w:rsidR="0072389B" w:rsidRPr="00183043" w:rsidRDefault="0072389B" w:rsidP="00782651">
      <w:pPr>
        <w:spacing w:after="0" w:line="240" w:lineRule="auto"/>
        <w:jc w:val="both"/>
        <w:rPr>
          <w:rFonts w:ascii="Trebuchet MS" w:eastAsia="Trebuchet MS" w:hAnsi="Trebuchet MS" w:cs="Trebuchet MS"/>
          <w:sz w:val="20"/>
          <w:szCs w:val="20"/>
          <w:lang w:val="en-US"/>
        </w:rPr>
      </w:pPr>
      <w:r w:rsidRPr="00183043">
        <w:rPr>
          <w:rFonts w:ascii="Trebuchet MS" w:eastAsia="Trebuchet MS" w:hAnsi="Trebuchet MS" w:cs="Trebuchet MS"/>
          <w:sz w:val="20"/>
          <w:szCs w:val="20"/>
          <w:lang w:val="en-US"/>
        </w:rPr>
        <w:t>The authors declare that there is no conflict of interest.</w:t>
      </w:r>
    </w:p>
    <w:p w14:paraId="38B5659B" w14:textId="77777777" w:rsidR="00317FF1" w:rsidRPr="00183043" w:rsidRDefault="00317FF1" w:rsidP="00782651">
      <w:pPr>
        <w:spacing w:after="0" w:line="240" w:lineRule="auto"/>
        <w:jc w:val="both"/>
        <w:rPr>
          <w:rFonts w:ascii="Trebuchet MS" w:eastAsia="Trebuchet MS" w:hAnsi="Trebuchet MS" w:cs="Trebuchet MS"/>
          <w:sz w:val="20"/>
          <w:szCs w:val="20"/>
          <w:lang w:val="en-US"/>
        </w:rPr>
      </w:pPr>
    </w:p>
    <w:p w14:paraId="2207C66C" w14:textId="77777777" w:rsidR="00317FF1" w:rsidRPr="00183043" w:rsidRDefault="00154A48" w:rsidP="00782651">
      <w:pPr>
        <w:keepNext/>
        <w:spacing w:after="0" w:line="240" w:lineRule="auto"/>
        <w:jc w:val="both"/>
        <w:rPr>
          <w:rFonts w:ascii="Trebuchet MS" w:eastAsia="Trebuchet MS" w:hAnsi="Trebuchet MS" w:cs="Trebuchet MS"/>
          <w:b/>
          <w:sz w:val="20"/>
          <w:szCs w:val="20"/>
          <w:lang w:val="en-US"/>
        </w:rPr>
      </w:pPr>
      <w:r w:rsidRPr="00183043">
        <w:rPr>
          <w:rFonts w:ascii="Trebuchet MS" w:eastAsia="Trebuchet MS" w:hAnsi="Trebuchet MS" w:cs="Trebuchet MS"/>
          <w:b/>
          <w:sz w:val="20"/>
          <w:szCs w:val="20"/>
          <w:lang w:val="en-US"/>
        </w:rPr>
        <w:t>REFERENCES</w:t>
      </w:r>
    </w:p>
    <w:p w14:paraId="1F53F248" w14:textId="77777777" w:rsidR="00893D73" w:rsidRPr="00183043" w:rsidRDefault="00893D73"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6" w:name="_Ref188265960"/>
      <w:bookmarkStart w:id="7" w:name="_Ref188264833"/>
      <w:r w:rsidRPr="00183043">
        <w:rPr>
          <w:rFonts w:ascii="Trebuchet MS" w:eastAsia="Trebuchet MS" w:hAnsi="Trebuchet MS" w:cs="Trebuchet MS"/>
          <w:bCs/>
          <w:sz w:val="20"/>
          <w:szCs w:val="20"/>
        </w:rPr>
        <w:t xml:space="preserve">Li H, Majumdar R, Chen M-R, Ogata H. Goal-oriented active learning (goal) system to promote reading engagement, self-directed learning behavior, and motivation in extensive reading. Computers Education 2021;171:104239. </w:t>
      </w:r>
      <w:hyperlink r:id="rId15" w:history="1">
        <w:r w:rsidRPr="00183043">
          <w:rPr>
            <w:rStyle w:val="a3"/>
            <w:rFonts w:ascii="Trebuchet MS" w:eastAsia="Trebuchet MS" w:hAnsi="Trebuchet MS" w:cs="Trebuchet MS"/>
            <w:bCs/>
            <w:sz w:val="20"/>
            <w:szCs w:val="20"/>
          </w:rPr>
          <w:t>http://dx.doi.org/10.1016/j.compedu.2021.104239</w:t>
        </w:r>
      </w:hyperlink>
      <w:bookmarkEnd w:id="6"/>
    </w:p>
    <w:p w14:paraId="72826DD9"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8" w:name="_Ref188265969"/>
      <w:r w:rsidRPr="00183043">
        <w:rPr>
          <w:rFonts w:ascii="Trebuchet MS" w:eastAsia="Trebuchet MS" w:hAnsi="Trebuchet MS" w:cs="Trebuchet MS"/>
          <w:bCs/>
          <w:sz w:val="20"/>
          <w:szCs w:val="20"/>
        </w:rPr>
        <w:t xml:space="preserve">Villar-Mayuntupa G. On the relationship between the understanding of scientific texts and the use of metacognitive strategies among Peruvian systems engineering students. 2020 IEEE World Conference on Engineering Education (EDUNINE) (pp. 1-3); 2020 March 15-18; Bogota, Colombia;2020. </w:t>
      </w:r>
      <w:hyperlink r:id="rId16" w:history="1">
        <w:r w:rsidRPr="00183043">
          <w:rPr>
            <w:rStyle w:val="a3"/>
            <w:rFonts w:ascii="Trebuchet MS" w:eastAsia="Trebuchet MS" w:hAnsi="Trebuchet MS" w:cs="Trebuchet MS"/>
            <w:bCs/>
            <w:sz w:val="20"/>
            <w:szCs w:val="20"/>
          </w:rPr>
          <w:t>https://doi.org/10.1109/EDUNINE48860.2020.9149499</w:t>
        </w:r>
      </w:hyperlink>
      <w:bookmarkEnd w:id="7"/>
      <w:bookmarkEnd w:id="8"/>
    </w:p>
    <w:p w14:paraId="10BD18CB" w14:textId="77777777" w:rsidR="003053C3" w:rsidRPr="00183043" w:rsidRDefault="003053C3"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9" w:name="_Ref188266294"/>
      <w:bookmarkStart w:id="10" w:name="_Ref188264863"/>
      <w:r w:rsidRPr="00183043">
        <w:rPr>
          <w:rFonts w:ascii="Trebuchet MS" w:eastAsia="Trebuchet MS" w:hAnsi="Trebuchet MS" w:cs="Trebuchet MS"/>
          <w:bCs/>
          <w:sz w:val="20"/>
          <w:szCs w:val="20"/>
        </w:rPr>
        <w:t xml:space="preserve">Diaz J, Kumar Chaudhary A, Jayaratne K, Assan E. Expanding evaluator competency research: Exploring competencies for program evaluation using the context of non-formal education. Evaluation and program planning 2020;79:101790.  </w:t>
      </w:r>
      <w:hyperlink r:id="rId17" w:history="1">
        <w:r w:rsidRPr="00183043">
          <w:rPr>
            <w:rStyle w:val="a3"/>
            <w:rFonts w:ascii="Trebuchet MS" w:eastAsia="Trebuchet MS" w:hAnsi="Trebuchet MS" w:cs="Trebuchet MS"/>
            <w:bCs/>
            <w:sz w:val="20"/>
            <w:szCs w:val="20"/>
          </w:rPr>
          <w:t>https://doi.org/10.1016/j.evalprogplan.2020.101790</w:t>
        </w:r>
      </w:hyperlink>
      <w:bookmarkEnd w:id="9"/>
    </w:p>
    <w:p w14:paraId="416CDA12" w14:textId="77777777" w:rsidR="003053C3" w:rsidRPr="00183043" w:rsidRDefault="003053C3"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11" w:name="_Ref188266422"/>
      <w:bookmarkStart w:id="12" w:name="_Ref188266299"/>
      <w:r w:rsidRPr="00183043">
        <w:rPr>
          <w:rFonts w:ascii="Trebuchet MS" w:eastAsia="Trebuchet MS" w:hAnsi="Trebuchet MS" w:cs="Trebuchet MS"/>
          <w:bCs/>
          <w:sz w:val="20"/>
          <w:szCs w:val="20"/>
        </w:rPr>
        <w:t xml:space="preserve">Dotsenko NA, Gorbenko OA, Haleeva AP. Technology of creating educational content for open digital resources in general technical disciplines. Journal of Physics: Conference Series, 2611. XV International Conference on Mathematics, Science and Technology Education (ICon-MaSTEd 2023); 2023 May 16-19; Kryvyi Rih, Ukraine; 2023. </w:t>
      </w:r>
      <w:hyperlink r:id="rId18" w:history="1">
        <w:r w:rsidRPr="00183043">
          <w:rPr>
            <w:rStyle w:val="a3"/>
            <w:rFonts w:ascii="Trebuchet MS" w:eastAsia="Trebuchet MS" w:hAnsi="Trebuchet MS" w:cs="Trebuchet MS"/>
            <w:bCs/>
            <w:sz w:val="20"/>
            <w:szCs w:val="20"/>
          </w:rPr>
          <w:t>https://doi.org/10.1088/1742-6596/2611/1/012019</w:t>
        </w:r>
      </w:hyperlink>
      <w:bookmarkEnd w:id="11"/>
    </w:p>
    <w:p w14:paraId="07F6B278"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13" w:name="_Ref188266427"/>
      <w:r w:rsidRPr="00183043">
        <w:rPr>
          <w:rFonts w:ascii="Trebuchet MS" w:eastAsia="Trebuchet MS" w:hAnsi="Trebuchet MS" w:cs="Trebuchet MS"/>
          <w:bCs/>
          <w:sz w:val="20"/>
          <w:szCs w:val="20"/>
        </w:rPr>
        <w:t xml:space="preserve">Dai J, Chen C. Text classification system of academic papers based on hybrid Bert-BiGRU model. 2020 12th International Conference on Intelligent Human-Machine Systems and Cybernetics (IHMSC) (pp. 40-44). 2020 Aug 22-23; Hangzhou, China; 2020. </w:t>
      </w:r>
      <w:hyperlink r:id="rId19" w:history="1">
        <w:r w:rsidRPr="00183043">
          <w:rPr>
            <w:rStyle w:val="a3"/>
            <w:rFonts w:ascii="Trebuchet MS" w:eastAsia="Trebuchet MS" w:hAnsi="Trebuchet MS" w:cs="Trebuchet MS"/>
            <w:bCs/>
            <w:sz w:val="20"/>
            <w:szCs w:val="20"/>
          </w:rPr>
          <w:t>https://doi.org/10.1109/IHMSC49165.2020.10088</w:t>
        </w:r>
      </w:hyperlink>
      <w:bookmarkEnd w:id="10"/>
      <w:bookmarkEnd w:id="12"/>
      <w:bookmarkEnd w:id="13"/>
    </w:p>
    <w:p w14:paraId="1E29557A"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14" w:name="_Ref188264877"/>
      <w:r w:rsidRPr="00183043">
        <w:rPr>
          <w:rFonts w:ascii="Trebuchet MS" w:eastAsia="Trebuchet MS" w:hAnsi="Trebuchet MS" w:cs="Trebuchet MS"/>
          <w:bCs/>
          <w:sz w:val="20"/>
          <w:szCs w:val="20"/>
        </w:rPr>
        <w:t xml:space="preserve">Artemenko Y, Ponomarenko O, Shulzhenko Y, Zbyrannyk O, Chrdileli. Teaching electrical engineering students the skill of academic reading. 2022 IEEE 4th International Conference on Modern Electrical and Energy System (MEES) (pp. 1-5); 2022 Oct 20-23; Kremenchuk, Ukraine; 2020. </w:t>
      </w:r>
      <w:hyperlink r:id="rId20" w:history="1">
        <w:r w:rsidRPr="00183043">
          <w:rPr>
            <w:rStyle w:val="a3"/>
            <w:rFonts w:ascii="Trebuchet MS" w:eastAsia="Trebuchet MS" w:hAnsi="Trebuchet MS" w:cs="Trebuchet MS"/>
            <w:bCs/>
            <w:sz w:val="20"/>
            <w:szCs w:val="20"/>
          </w:rPr>
          <w:t>https://doi.org/10.1109/MEES58014.2022.10005738</w:t>
        </w:r>
      </w:hyperlink>
      <w:bookmarkEnd w:id="14"/>
    </w:p>
    <w:p w14:paraId="32C0DF6B"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15" w:name="_Ref188264983"/>
      <w:r w:rsidRPr="00183043">
        <w:rPr>
          <w:rFonts w:ascii="Trebuchet MS" w:eastAsia="Trebuchet MS" w:hAnsi="Trebuchet MS" w:cs="Trebuchet MS"/>
          <w:bCs/>
          <w:sz w:val="20"/>
          <w:szCs w:val="20"/>
        </w:rPr>
        <w:t xml:space="preserve">Yasukawa M, Yamazaki K. Categorizing bibliographic data for detection of transition in academic subjects. 2020 9th International Congress on Advanced Applied Informatics (IIAI-AAI) (pp. 842-844); 2020 Sept 1-15; Kitakyushu, Japan; 2020. </w:t>
      </w:r>
      <w:hyperlink r:id="rId21" w:history="1">
        <w:r w:rsidRPr="00183043">
          <w:rPr>
            <w:rStyle w:val="a3"/>
            <w:rFonts w:ascii="Trebuchet MS" w:eastAsia="Trebuchet MS" w:hAnsi="Trebuchet MS" w:cs="Trebuchet MS"/>
            <w:bCs/>
            <w:sz w:val="20"/>
            <w:szCs w:val="20"/>
          </w:rPr>
          <w:t>https://doi.org/10.1109/IIAI-AAI50415.2020.00178</w:t>
        </w:r>
      </w:hyperlink>
      <w:bookmarkEnd w:id="15"/>
    </w:p>
    <w:p w14:paraId="2C47EB42" w14:textId="77777777" w:rsidR="004045D9" w:rsidRPr="00183043" w:rsidRDefault="004045D9"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16" w:name="_Ref188266753"/>
      <w:bookmarkStart w:id="17" w:name="_Ref188264993"/>
      <w:r w:rsidRPr="00183043">
        <w:rPr>
          <w:rFonts w:ascii="Trebuchet MS" w:eastAsia="Trebuchet MS" w:hAnsi="Trebuchet MS" w:cs="Trebuchet MS"/>
          <w:bCs/>
          <w:sz w:val="20"/>
          <w:szCs w:val="20"/>
        </w:rPr>
        <w:t xml:space="preserve">Chrdileli T, Shulzhenko Y. Teaching electrical engineering students the skill of academic essay writing in the context of scientific discourse. 2021 IEEE International Conference on Modern Electrical and Energy Systems (MEES) (pp. 1-6); 2021 Sept 21-24;  Kremenchuk, Ukraine; 2021. </w:t>
      </w:r>
      <w:hyperlink r:id="rId22" w:history="1">
        <w:r w:rsidRPr="00183043">
          <w:rPr>
            <w:rStyle w:val="a3"/>
            <w:rFonts w:ascii="Trebuchet MS" w:eastAsia="Trebuchet MS" w:hAnsi="Trebuchet MS" w:cs="Trebuchet MS"/>
            <w:bCs/>
            <w:sz w:val="20"/>
            <w:szCs w:val="20"/>
          </w:rPr>
          <w:t>https://doi.org/10.1109/MEES52427.2021.9598705</w:t>
        </w:r>
      </w:hyperlink>
      <w:bookmarkEnd w:id="16"/>
    </w:p>
    <w:p w14:paraId="5E18FF38"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18" w:name="_Ref188267010"/>
      <w:r w:rsidRPr="00183043">
        <w:rPr>
          <w:rFonts w:ascii="Trebuchet MS" w:eastAsia="Trebuchet MS" w:hAnsi="Trebuchet MS" w:cs="Trebuchet MS"/>
          <w:bCs/>
          <w:sz w:val="20"/>
          <w:szCs w:val="20"/>
        </w:rPr>
        <w:t xml:space="preserve">Mebert L, Barnes R, Dalley J, Gawarecki L, Ghazi-Nezami F, Shafer G, Slater J, Yezbick E. Fostering student engagement through a real-world, collaborative project across disciplines and institutions. Higher Education Pedagogies 2020;5:30-51. </w:t>
      </w:r>
      <w:hyperlink r:id="rId23" w:history="1">
        <w:r w:rsidRPr="00183043">
          <w:rPr>
            <w:rStyle w:val="a3"/>
            <w:rFonts w:ascii="Trebuchet MS" w:eastAsia="Trebuchet MS" w:hAnsi="Trebuchet MS" w:cs="Trebuchet MS"/>
            <w:bCs/>
            <w:sz w:val="20"/>
            <w:szCs w:val="20"/>
          </w:rPr>
          <w:t>https://doi.org/10.1080/23752696.2020.1750306</w:t>
        </w:r>
      </w:hyperlink>
      <w:bookmarkEnd w:id="17"/>
      <w:bookmarkEnd w:id="18"/>
    </w:p>
    <w:p w14:paraId="0003E2B0"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19" w:name="_Ref188265080"/>
      <w:r w:rsidRPr="00183043">
        <w:rPr>
          <w:rFonts w:ascii="Trebuchet MS" w:eastAsia="Trebuchet MS" w:hAnsi="Trebuchet MS" w:cs="Trebuchet MS"/>
          <w:bCs/>
          <w:sz w:val="20"/>
          <w:szCs w:val="20"/>
        </w:rPr>
        <w:t xml:space="preserve">Adhikari A, Mukherjee A. Citation convergence of academic conference papers. 2020 IEEE Calcutta Conference (CALCON) (pp. 85-88); 2020 Feb 28-29; Kolkata, India; 2020. </w:t>
      </w:r>
      <w:hyperlink r:id="rId24" w:history="1">
        <w:r w:rsidRPr="00183043">
          <w:rPr>
            <w:rStyle w:val="a3"/>
            <w:rFonts w:ascii="Trebuchet MS" w:eastAsia="Trebuchet MS" w:hAnsi="Trebuchet MS" w:cs="Trebuchet MS"/>
            <w:bCs/>
            <w:sz w:val="20"/>
            <w:szCs w:val="20"/>
          </w:rPr>
          <w:t>https://doi.org/10.1109/CALCON49167.2020.9106534</w:t>
        </w:r>
      </w:hyperlink>
      <w:bookmarkEnd w:id="19"/>
    </w:p>
    <w:p w14:paraId="301C1729"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0" w:name="_Ref188265092"/>
      <w:r w:rsidRPr="00183043">
        <w:rPr>
          <w:rFonts w:ascii="Trebuchet MS" w:eastAsia="Trebuchet MS" w:hAnsi="Trebuchet MS" w:cs="Trebuchet MS"/>
          <w:bCs/>
          <w:sz w:val="20"/>
          <w:szCs w:val="20"/>
        </w:rPr>
        <w:lastRenderedPageBreak/>
        <w:t xml:space="preserve">Piter CAE, Hadi S, Yulita IN. Multi-label classification for scientific conference activities information text using extreme gradient boost (XGBoost) method. 2021 International Conference on Artificial Intelligence and Big Data Analytics (pp. 1-5); 2021 Oct 27-29; Bandung, Indonesia; 2021. </w:t>
      </w:r>
      <w:hyperlink r:id="rId25" w:history="1">
        <w:r w:rsidR="00CF238C" w:rsidRPr="00110842">
          <w:rPr>
            <w:rStyle w:val="a3"/>
            <w:rFonts w:ascii="Trebuchet MS" w:eastAsia="Trebuchet MS" w:hAnsi="Trebuchet MS" w:cs="Trebuchet MS"/>
            <w:bCs/>
            <w:sz w:val="20"/>
            <w:szCs w:val="20"/>
          </w:rPr>
          <w:t>https://doi.org/10.1109/ICAIBDA53487.2021.9689699</w:t>
        </w:r>
      </w:hyperlink>
      <w:bookmarkEnd w:id="20"/>
    </w:p>
    <w:p w14:paraId="40B15397"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1" w:name="_Ref188265110"/>
      <w:r w:rsidRPr="00183043">
        <w:rPr>
          <w:rFonts w:ascii="Trebuchet MS" w:eastAsia="Trebuchet MS" w:hAnsi="Trebuchet MS" w:cs="Trebuchet MS"/>
          <w:bCs/>
          <w:sz w:val="20"/>
          <w:szCs w:val="20"/>
        </w:rPr>
        <w:t>Gao M, Chen C-H, Gao Z-H, Chen W-L, Ren Y, Kwong S, Zhan Z-H. A novel hierarchical discourse model for scientific article and its efficient top-K resampling-based text classification approach. 2022 IEEE International Conference on Systems, Man, and Cybernetics (SMC) (pp. 774-781);</w:t>
      </w:r>
      <w:r w:rsidRPr="00183043">
        <w:t xml:space="preserve"> </w:t>
      </w:r>
      <w:r w:rsidRPr="00183043">
        <w:rPr>
          <w:rFonts w:ascii="Trebuchet MS" w:eastAsia="Trebuchet MS" w:hAnsi="Trebuchet MS" w:cs="Trebuchet MS"/>
          <w:bCs/>
          <w:sz w:val="20"/>
          <w:szCs w:val="20"/>
        </w:rPr>
        <w:t xml:space="preserve">2022 Oct 9-12; 2022. </w:t>
      </w:r>
      <w:hyperlink r:id="rId26" w:history="1">
        <w:r w:rsidRPr="00183043">
          <w:rPr>
            <w:rStyle w:val="a3"/>
            <w:rFonts w:ascii="Trebuchet MS" w:eastAsia="Trebuchet MS" w:hAnsi="Trebuchet MS" w:cs="Trebuchet MS"/>
            <w:bCs/>
            <w:sz w:val="20"/>
            <w:szCs w:val="20"/>
          </w:rPr>
          <w:t>https://doi.org/10.1109/SMC53654.2022.9945306</w:t>
        </w:r>
      </w:hyperlink>
      <w:bookmarkEnd w:id="21"/>
    </w:p>
    <w:p w14:paraId="6DE0AB65"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2" w:name="_Ref188265185"/>
      <w:r w:rsidRPr="00183043">
        <w:rPr>
          <w:rFonts w:ascii="Trebuchet MS" w:eastAsia="Trebuchet MS" w:hAnsi="Trebuchet MS" w:cs="Trebuchet MS"/>
          <w:bCs/>
          <w:sz w:val="20"/>
          <w:szCs w:val="20"/>
        </w:rPr>
        <w:t xml:space="preserve">Shi J. ESP: A needs-oriented approach for scientific English education. Proceedings of the 2013 International Conference on Advanced Mechatronic Systems (pp. 400-405); 2013 Sept 25-27; Luoyang, China; 2013. </w:t>
      </w:r>
      <w:hyperlink r:id="rId27" w:history="1">
        <w:r w:rsidRPr="00183043">
          <w:rPr>
            <w:rStyle w:val="a3"/>
            <w:rFonts w:ascii="Trebuchet MS" w:eastAsia="Trebuchet MS" w:hAnsi="Trebuchet MS" w:cs="Trebuchet MS"/>
            <w:bCs/>
            <w:sz w:val="20"/>
            <w:szCs w:val="20"/>
          </w:rPr>
          <w:t>https://doi.org/10.1109/ICAMechS.2013.6681816</w:t>
        </w:r>
      </w:hyperlink>
      <w:bookmarkEnd w:id="22"/>
    </w:p>
    <w:p w14:paraId="5F1C3AA0" w14:textId="77777777" w:rsidR="004D17D7" w:rsidRPr="00183043" w:rsidRDefault="004D17D7"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3" w:name="_Ref188265228"/>
      <w:r w:rsidRPr="00183043">
        <w:rPr>
          <w:rFonts w:ascii="Trebuchet MS" w:eastAsia="Trebuchet MS" w:hAnsi="Trebuchet MS" w:cs="Trebuchet MS"/>
          <w:bCs/>
          <w:sz w:val="20"/>
          <w:szCs w:val="20"/>
        </w:rPr>
        <w:t xml:space="preserve">Yan L, Pei Z, Ren F.  Constructing and managing multi-granular linguistic values based on linguistic terms and their fuzzy sets. IEEE Access 2019;7:152928-152943. </w:t>
      </w:r>
      <w:hyperlink r:id="rId28" w:history="1">
        <w:r w:rsidRPr="00183043">
          <w:rPr>
            <w:rStyle w:val="a3"/>
            <w:rFonts w:ascii="Trebuchet MS" w:eastAsia="Trebuchet MS" w:hAnsi="Trebuchet MS" w:cs="Trebuchet MS"/>
            <w:bCs/>
            <w:sz w:val="20"/>
            <w:szCs w:val="20"/>
          </w:rPr>
          <w:t>https://doi.org/10.1109/ACCESS.2019.2948847</w:t>
        </w:r>
      </w:hyperlink>
    </w:p>
    <w:p w14:paraId="5901EC8E"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r w:rsidRPr="00183043">
        <w:rPr>
          <w:rFonts w:ascii="Trebuchet MS" w:eastAsia="Trebuchet MS" w:hAnsi="Trebuchet MS" w:cs="Trebuchet MS"/>
          <w:bCs/>
          <w:sz w:val="20"/>
          <w:szCs w:val="20"/>
        </w:rPr>
        <w:t xml:space="preserve">Wu Y, Dong Y,  Qin J, Pedrycz W. Linguistic distribution and priority-based approximation to linguistic preference relations with flexible linguistic expressions in decision making. IEEE Transactions on Cybernetics 2021;51(2):649-659. </w:t>
      </w:r>
      <w:hyperlink r:id="rId29" w:history="1">
        <w:r w:rsidRPr="00183043">
          <w:rPr>
            <w:rStyle w:val="a3"/>
            <w:rFonts w:ascii="Trebuchet MS" w:eastAsia="Trebuchet MS" w:hAnsi="Trebuchet MS" w:cs="Trebuchet MS"/>
            <w:bCs/>
            <w:sz w:val="20"/>
            <w:szCs w:val="20"/>
          </w:rPr>
          <w:t>https://doi.org/10.1109/TCYB.2019.2953307</w:t>
        </w:r>
      </w:hyperlink>
      <w:bookmarkEnd w:id="23"/>
    </w:p>
    <w:p w14:paraId="39DCFB06"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4" w:name="_Ref188265241"/>
      <w:r w:rsidRPr="00183043">
        <w:rPr>
          <w:rFonts w:ascii="Trebuchet MS" w:eastAsia="Trebuchet MS" w:hAnsi="Trebuchet MS" w:cs="Trebuchet MS"/>
          <w:bCs/>
          <w:sz w:val="20"/>
          <w:szCs w:val="20"/>
        </w:rPr>
        <w:t xml:space="preserve">Davydov M, Lozynska O. Linguistic models of assistive computer technologies for cognition and communication. 2016 XIth International Scientific and Technical Conference Computer Sciences and Information Technologies (CSIT) (pp. 174-174); 2016 Sept 6-10; Lviv, Ukraine; 2016. </w:t>
      </w:r>
      <w:hyperlink r:id="rId30" w:history="1">
        <w:r w:rsidRPr="00183043">
          <w:rPr>
            <w:rStyle w:val="a3"/>
            <w:rFonts w:ascii="Trebuchet MS" w:eastAsia="Trebuchet MS" w:hAnsi="Trebuchet MS" w:cs="Trebuchet MS"/>
            <w:bCs/>
            <w:sz w:val="20"/>
            <w:szCs w:val="20"/>
          </w:rPr>
          <w:t>https://doi.org/10.1109/STC-CSIT.2016.7589898</w:t>
        </w:r>
      </w:hyperlink>
      <w:bookmarkEnd w:id="24"/>
    </w:p>
    <w:p w14:paraId="6D96DD2F"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5" w:name="_Ref188265317"/>
      <w:r w:rsidRPr="00183043">
        <w:rPr>
          <w:rFonts w:ascii="Trebuchet MS" w:eastAsia="Trebuchet MS" w:hAnsi="Trebuchet MS" w:cs="Trebuchet MS"/>
          <w:bCs/>
          <w:sz w:val="20"/>
          <w:szCs w:val="20"/>
        </w:rPr>
        <w:t xml:space="preserve">Chavan A, Kunadi P, Wader N, Sane S. Proposing a semantic analysis based Sanskrit compiler by mapping Sanskrit’s linguistic features with compiler phases. 2021 Second International Conference on Electronics and Sustainable Communication Systems (ICESC) (pp. 1987-1991); 2021 Aug 4-6; Coimbatore, India; 2021. </w:t>
      </w:r>
      <w:hyperlink r:id="rId31" w:history="1">
        <w:r w:rsidRPr="00183043">
          <w:rPr>
            <w:rStyle w:val="a3"/>
            <w:rFonts w:ascii="Trebuchet MS" w:eastAsia="Trebuchet MS" w:hAnsi="Trebuchet MS" w:cs="Trebuchet MS"/>
            <w:bCs/>
            <w:sz w:val="20"/>
            <w:szCs w:val="20"/>
          </w:rPr>
          <w:t>https://doi.org/10.1109/ICESC51422.2021.9532969</w:t>
        </w:r>
      </w:hyperlink>
      <w:bookmarkEnd w:id="25"/>
    </w:p>
    <w:p w14:paraId="4FB04344"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6" w:name="_Ref188265326"/>
      <w:r w:rsidRPr="00183043">
        <w:rPr>
          <w:rFonts w:ascii="Trebuchet MS" w:eastAsia="Trebuchet MS" w:hAnsi="Trebuchet MS" w:cs="Trebuchet MS"/>
          <w:bCs/>
          <w:sz w:val="20"/>
          <w:szCs w:val="20"/>
        </w:rPr>
        <w:t xml:space="preserve">Björlin Svozil L, Pears A, Gumaelius L. Portrayals of technology education in Swedish upper secondary education. 2020 IEEE Frontiers in Education Conference (FIE) (pp. 1-7); 2020 Oct 21-24; Uppsala, Sweden; 2020 </w:t>
      </w:r>
      <w:hyperlink r:id="rId32" w:history="1">
        <w:r w:rsidRPr="00183043">
          <w:rPr>
            <w:rStyle w:val="a3"/>
            <w:rFonts w:ascii="Trebuchet MS" w:eastAsia="Trebuchet MS" w:hAnsi="Trebuchet MS" w:cs="Trebuchet MS"/>
            <w:bCs/>
            <w:sz w:val="20"/>
            <w:szCs w:val="20"/>
          </w:rPr>
          <w:t>https://doi.org/10.1109/FIE44824.2020.9274131</w:t>
        </w:r>
      </w:hyperlink>
      <w:bookmarkEnd w:id="26"/>
    </w:p>
    <w:p w14:paraId="381176D3"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7" w:name="_Ref188265333"/>
      <w:r w:rsidRPr="00183043">
        <w:rPr>
          <w:rFonts w:ascii="Trebuchet MS" w:eastAsia="Trebuchet MS" w:hAnsi="Trebuchet MS" w:cs="Trebuchet MS"/>
          <w:bCs/>
          <w:sz w:val="20"/>
          <w:szCs w:val="20"/>
        </w:rPr>
        <w:t xml:space="preserve">Guillén-Yparrea N, Hernández-Rodríguez F, Ramírez-Montoya MS.  Intercultural engineering mindsets for sustainable development alliance. 2023 World Engineering Education Forum - Global Engineering Deans Council (WEEF-GEDC) (pp. 1-6); 2023 Oct 23-27; Monterrey, Mexico; 2023. </w:t>
      </w:r>
      <w:hyperlink r:id="rId33" w:history="1">
        <w:r w:rsidRPr="00183043">
          <w:rPr>
            <w:rStyle w:val="a3"/>
            <w:rFonts w:ascii="Trebuchet MS" w:eastAsia="Trebuchet MS" w:hAnsi="Trebuchet MS" w:cs="Trebuchet MS"/>
            <w:bCs/>
            <w:sz w:val="20"/>
            <w:szCs w:val="20"/>
          </w:rPr>
          <w:t>https://doi.org/10.1109/WEEF-GEDC59520.2023.10343665</w:t>
        </w:r>
      </w:hyperlink>
      <w:bookmarkEnd w:id="27"/>
    </w:p>
    <w:p w14:paraId="11083E71"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8" w:name="_Ref188265425"/>
      <w:r w:rsidRPr="00183043">
        <w:rPr>
          <w:rFonts w:ascii="Trebuchet MS" w:eastAsia="Trebuchet MS" w:hAnsi="Trebuchet MS" w:cs="Trebuchet MS"/>
          <w:bCs/>
          <w:sz w:val="20"/>
          <w:szCs w:val="20"/>
        </w:rPr>
        <w:t xml:space="preserve">Manca S. Snapping, pinning, liking or texting: Investigating social media in higher education beyond Facebook. The Internet and Higher Education 2020;44:100707. </w:t>
      </w:r>
      <w:hyperlink r:id="rId34" w:history="1">
        <w:r w:rsidRPr="00183043">
          <w:rPr>
            <w:rStyle w:val="a3"/>
            <w:rFonts w:ascii="Trebuchet MS" w:eastAsia="Trebuchet MS" w:hAnsi="Trebuchet MS" w:cs="Trebuchet MS"/>
            <w:bCs/>
            <w:sz w:val="20"/>
            <w:szCs w:val="20"/>
          </w:rPr>
          <w:t>https://doi.org/10.1016/j.iheduc.2019.100707</w:t>
        </w:r>
      </w:hyperlink>
      <w:bookmarkEnd w:id="28"/>
    </w:p>
    <w:p w14:paraId="04503AF6"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29" w:name="_Ref188265432"/>
      <w:r w:rsidRPr="00183043">
        <w:rPr>
          <w:rFonts w:ascii="Trebuchet MS" w:eastAsia="Trebuchet MS" w:hAnsi="Trebuchet MS" w:cs="Trebuchet MS"/>
          <w:bCs/>
          <w:sz w:val="20"/>
          <w:szCs w:val="20"/>
        </w:rPr>
        <w:t xml:space="preserve">Jiang D, Dahl B, Chen J, Du X. Engineering students’ perception of learner agency development in an intercultural PBL (Problem- and Project-Based) team setting. IEEE Transactions on Education 2023;66(6):591-601. </w:t>
      </w:r>
      <w:hyperlink r:id="rId35" w:history="1">
        <w:r w:rsidRPr="00183043">
          <w:rPr>
            <w:rStyle w:val="a3"/>
            <w:rFonts w:ascii="Trebuchet MS" w:eastAsia="Trebuchet MS" w:hAnsi="Trebuchet MS" w:cs="Trebuchet MS"/>
            <w:bCs/>
            <w:sz w:val="20"/>
            <w:szCs w:val="20"/>
          </w:rPr>
          <w:t>https://doi.org/10.1109/TE.2023.3273177</w:t>
        </w:r>
      </w:hyperlink>
      <w:bookmarkEnd w:id="29"/>
    </w:p>
    <w:p w14:paraId="14F2B4E7"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30" w:name="_Ref188265438"/>
      <w:r w:rsidRPr="00183043">
        <w:rPr>
          <w:rFonts w:ascii="Trebuchet MS" w:eastAsia="Trebuchet MS" w:hAnsi="Trebuchet MS" w:cs="Trebuchet MS"/>
          <w:bCs/>
          <w:sz w:val="20"/>
          <w:szCs w:val="20"/>
        </w:rPr>
        <w:t xml:space="preserve">Landberg M, Partsch M. Perceptions on and attitudes towards lifelong learning in the educational system. Social Sciences Humanities Open 2023;8:100534. </w:t>
      </w:r>
      <w:hyperlink r:id="rId36" w:history="1">
        <w:r w:rsidRPr="00183043">
          <w:rPr>
            <w:rStyle w:val="a3"/>
            <w:rFonts w:ascii="Trebuchet MS" w:eastAsia="Trebuchet MS" w:hAnsi="Trebuchet MS" w:cs="Trebuchet MS"/>
            <w:bCs/>
            <w:sz w:val="20"/>
            <w:szCs w:val="20"/>
          </w:rPr>
          <w:t>http://dx.doi.org/10.1016/j.ssaho.2023.100534</w:t>
        </w:r>
      </w:hyperlink>
      <w:bookmarkEnd w:id="30"/>
    </w:p>
    <w:p w14:paraId="3E12CAF9"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31" w:name="_Ref188265508"/>
      <w:r w:rsidRPr="00183043">
        <w:rPr>
          <w:rFonts w:ascii="Trebuchet MS" w:eastAsia="Trebuchet MS" w:hAnsi="Trebuchet MS" w:cs="Trebuchet MS"/>
          <w:bCs/>
          <w:sz w:val="20"/>
          <w:szCs w:val="20"/>
        </w:rPr>
        <w:t xml:space="preserve">Han Y, Yang F, Xiong S, Hu M. Informal learning research based on mobile portable devices. 2020 International Conference on Information Science and Education (ICISE-IE) (pp. 334-337); 2020 Dec 4-6; 2020. </w:t>
      </w:r>
      <w:hyperlink r:id="rId37" w:history="1">
        <w:r w:rsidRPr="00183043">
          <w:rPr>
            <w:rStyle w:val="a3"/>
            <w:rFonts w:ascii="Trebuchet MS" w:eastAsia="Trebuchet MS" w:hAnsi="Trebuchet MS" w:cs="Trebuchet MS"/>
            <w:bCs/>
            <w:sz w:val="20"/>
            <w:szCs w:val="20"/>
          </w:rPr>
          <w:t>https://doi.org/10.1109/ICISE51755.2020.00080</w:t>
        </w:r>
      </w:hyperlink>
      <w:bookmarkEnd w:id="31"/>
    </w:p>
    <w:p w14:paraId="7201901D"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32" w:name="_Ref188265625"/>
      <w:r w:rsidRPr="00183043">
        <w:rPr>
          <w:rFonts w:ascii="Trebuchet MS" w:eastAsia="Trebuchet MS" w:hAnsi="Trebuchet MS" w:cs="Trebuchet MS"/>
          <w:bCs/>
          <w:sz w:val="20"/>
          <w:szCs w:val="20"/>
        </w:rPr>
        <w:t xml:space="preserve">Nivala M, Seredko A, Osborne T, Hillman T. Stack overflow – informal learning and the global expansion of professional development and opportunities in programming? 2020 IEEE Global Engineering Education Conference (EDUCON) (pp. 402-408); 2020 April 27-30; Porto, Portugal; 2020. </w:t>
      </w:r>
      <w:hyperlink r:id="rId38" w:history="1">
        <w:r w:rsidRPr="00183043">
          <w:rPr>
            <w:rStyle w:val="a3"/>
            <w:rFonts w:ascii="Trebuchet MS" w:eastAsia="Trebuchet MS" w:hAnsi="Trebuchet MS" w:cs="Trebuchet MS"/>
            <w:bCs/>
            <w:sz w:val="20"/>
            <w:szCs w:val="20"/>
          </w:rPr>
          <w:t>https://doi.org/10.1109/EDUCON45650.2020.9125165</w:t>
        </w:r>
      </w:hyperlink>
      <w:bookmarkEnd w:id="32"/>
    </w:p>
    <w:p w14:paraId="4102AAB0"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33" w:name="_Ref188265632"/>
      <w:r w:rsidRPr="00183043">
        <w:rPr>
          <w:rFonts w:ascii="Trebuchet MS" w:eastAsia="Trebuchet MS" w:hAnsi="Trebuchet MS" w:cs="Trebuchet MS"/>
          <w:bCs/>
          <w:sz w:val="20"/>
          <w:szCs w:val="20"/>
        </w:rPr>
        <w:lastRenderedPageBreak/>
        <w:t xml:space="preserve">Nite SB, Erdogan N, Bicer A, Currens KA, Lee S. Spatial visualization in informal learning. 2023 IEEE Frontiers in Education Conference (FIE) (pp. 1-5); 2023 Oct 18-21; 2021. </w:t>
      </w:r>
      <w:hyperlink r:id="rId39" w:history="1">
        <w:r w:rsidRPr="00183043">
          <w:rPr>
            <w:rStyle w:val="a3"/>
            <w:rFonts w:ascii="Trebuchet MS" w:eastAsia="Trebuchet MS" w:hAnsi="Trebuchet MS" w:cs="Trebuchet MS"/>
            <w:bCs/>
            <w:sz w:val="20"/>
            <w:szCs w:val="20"/>
          </w:rPr>
          <w:t>https://doi.org/10.1109/FIE58773.2023.10343446</w:t>
        </w:r>
      </w:hyperlink>
      <w:bookmarkEnd w:id="33"/>
    </w:p>
    <w:p w14:paraId="1E5AE90C" w14:textId="77777777" w:rsidR="00D12AEC" w:rsidRPr="00183043"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34" w:name="_Ref188265637"/>
      <w:r w:rsidRPr="00183043">
        <w:rPr>
          <w:rFonts w:ascii="Trebuchet MS" w:eastAsia="Trebuchet MS" w:hAnsi="Trebuchet MS" w:cs="Trebuchet MS"/>
          <w:bCs/>
          <w:sz w:val="20"/>
          <w:szCs w:val="20"/>
        </w:rPr>
        <w:t xml:space="preserve">Pienimäki M, Kinnula M, Iivari N. Finding fun in non-formal technology education. International Journal of Child-Computer Interaction 2021;29:100283. </w:t>
      </w:r>
      <w:hyperlink r:id="rId40" w:history="1">
        <w:r w:rsidRPr="00183043">
          <w:rPr>
            <w:rStyle w:val="a3"/>
            <w:rFonts w:ascii="Trebuchet MS" w:eastAsia="Trebuchet MS" w:hAnsi="Trebuchet MS" w:cs="Trebuchet MS"/>
            <w:bCs/>
            <w:sz w:val="20"/>
            <w:szCs w:val="20"/>
          </w:rPr>
          <w:t>https://doi.org/10.1016/j.ijcci.2021.100283</w:t>
        </w:r>
      </w:hyperlink>
      <w:bookmarkEnd w:id="34"/>
    </w:p>
    <w:p w14:paraId="20AB334C" w14:textId="77777777" w:rsidR="00D12AEC" w:rsidRPr="00CF238C" w:rsidRDefault="00D12AEC" w:rsidP="00CF238C">
      <w:pPr>
        <w:keepLines/>
        <w:numPr>
          <w:ilvl w:val="0"/>
          <w:numId w:val="42"/>
        </w:numPr>
        <w:spacing w:after="120" w:line="240" w:lineRule="auto"/>
        <w:ind w:left="284" w:hanging="284"/>
        <w:jc w:val="both"/>
        <w:rPr>
          <w:rFonts w:ascii="Trebuchet MS" w:eastAsia="Trebuchet MS" w:hAnsi="Trebuchet MS" w:cs="Trebuchet MS"/>
          <w:bCs/>
          <w:sz w:val="20"/>
          <w:szCs w:val="20"/>
        </w:rPr>
      </w:pPr>
      <w:bookmarkStart w:id="35" w:name="_Ref188266019"/>
      <w:r w:rsidRPr="00183043">
        <w:rPr>
          <w:rFonts w:ascii="Trebuchet MS" w:eastAsia="Trebuchet MS" w:hAnsi="Trebuchet MS" w:cs="Trebuchet MS"/>
          <w:bCs/>
          <w:sz w:val="20"/>
          <w:szCs w:val="20"/>
        </w:rPr>
        <w:t xml:space="preserve">Tovar E, et al. Do MOOCs sustain the UNESCO’s quality education goal? 2019 IEEE Global Engineering Education Conference (EDUCON) (pp. 1499-1503); 2019 April 8-11; Dubai, United Arab Emirates; 2019. </w:t>
      </w:r>
      <w:hyperlink r:id="rId41" w:history="1">
        <w:r w:rsidRPr="00183043">
          <w:rPr>
            <w:rStyle w:val="a3"/>
            <w:rFonts w:ascii="Trebuchet MS" w:eastAsia="Trebuchet MS" w:hAnsi="Trebuchet MS" w:cs="Trebuchet MS"/>
            <w:bCs/>
            <w:sz w:val="20"/>
            <w:szCs w:val="20"/>
          </w:rPr>
          <w:t>https://doi.org/10.1109/EDUCON.2019.8725203</w:t>
        </w:r>
      </w:hyperlink>
      <w:bookmarkEnd w:id="35"/>
    </w:p>
    <w:sectPr w:rsidR="00D12AEC" w:rsidRPr="00CF238C" w:rsidSect="00FD5C59">
      <w:headerReference w:type="default" r:id="rId42"/>
      <w:footerReference w:type="default" r:id="rId4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E7558" w14:textId="77777777" w:rsidR="007C5F89" w:rsidRDefault="007C5F89" w:rsidP="000C455D">
      <w:pPr>
        <w:spacing w:after="0" w:line="240" w:lineRule="auto"/>
      </w:pPr>
      <w:r>
        <w:separator/>
      </w:r>
    </w:p>
  </w:endnote>
  <w:endnote w:type="continuationSeparator" w:id="0">
    <w:p w14:paraId="0771001E" w14:textId="77777777" w:rsidR="007C5F89" w:rsidRDefault="007C5F89" w:rsidP="000C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F444" w14:textId="77777777" w:rsidR="009D76EB" w:rsidRDefault="009D76EB" w:rsidP="000C455D">
    <w:pPr>
      <w:pStyle w:val="a7"/>
      <w:jc w:val="center"/>
    </w:pPr>
  </w:p>
  <w:p w14:paraId="2FADC3F9" w14:textId="77777777" w:rsidR="009D76EB" w:rsidRDefault="009D76EB" w:rsidP="000C455D">
    <w:pPr>
      <w:pStyle w:val="a7"/>
    </w:pPr>
  </w:p>
  <w:p w14:paraId="3843F72E" w14:textId="77777777" w:rsidR="009D76EB" w:rsidRDefault="009D76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3D24C" w14:textId="77777777" w:rsidR="007C5F89" w:rsidRDefault="007C5F89" w:rsidP="000C455D">
      <w:pPr>
        <w:spacing w:after="0" w:line="240" w:lineRule="auto"/>
      </w:pPr>
      <w:r>
        <w:separator/>
      </w:r>
    </w:p>
  </w:footnote>
  <w:footnote w:type="continuationSeparator" w:id="0">
    <w:p w14:paraId="5FF61A84" w14:textId="77777777" w:rsidR="007C5F89" w:rsidRDefault="007C5F89" w:rsidP="000C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1BEF1" w14:textId="77777777" w:rsidR="009D76EB" w:rsidRDefault="009D76EB" w:rsidP="000C455D">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C829D8E"/>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lvl>
    <w:lvl w:ilvl="2">
      <w:start w:val="1"/>
      <w:numFmt w:val="decimal"/>
      <w:pStyle w:val="3"/>
      <w:lvlText w:val="%3)"/>
      <w:legacy w:legacy="1" w:legacySpace="144" w:legacyIndent="144"/>
      <w:lvlJc w:val="left"/>
    </w:lvl>
    <w:lvl w:ilvl="3">
      <w:start w:val="1"/>
      <w:numFmt w:val="lowerLetter"/>
      <w:pStyle w:val="4"/>
      <w:lvlText w:val="%4)"/>
      <w:lvlJc w:val="left"/>
      <w:pPr>
        <w:ind w:left="1152" w:hanging="720"/>
      </w:pPr>
    </w:lvl>
    <w:lvl w:ilvl="4">
      <w:start w:val="1"/>
      <w:numFmt w:val="decimal"/>
      <w:pStyle w:val="5"/>
      <w:lvlText w:val="(%5)"/>
      <w:legacy w:legacy="1" w:legacySpace="0" w:legacyIndent="720"/>
      <w:lvlJc w:val="left"/>
      <w:pPr>
        <w:ind w:left="1872" w:hanging="720"/>
      </w:pPr>
    </w:lvl>
    <w:lvl w:ilvl="5">
      <w:start w:val="1"/>
      <w:numFmt w:val="lowerLetter"/>
      <w:pStyle w:val="6"/>
      <w:lvlText w:val="(%6)"/>
      <w:legacy w:legacy="1" w:legacySpace="0" w:legacyIndent="720"/>
      <w:lvlJc w:val="left"/>
      <w:pPr>
        <w:ind w:left="2592" w:hanging="720"/>
      </w:pPr>
    </w:lvl>
    <w:lvl w:ilvl="6">
      <w:start w:val="1"/>
      <w:numFmt w:val="lowerRoman"/>
      <w:pStyle w:val="7"/>
      <w:lvlText w:val="(%7)"/>
      <w:legacy w:legacy="1" w:legacySpace="0" w:legacyIndent="720"/>
      <w:lvlJc w:val="left"/>
      <w:pPr>
        <w:ind w:left="3312" w:hanging="720"/>
      </w:pPr>
    </w:lvl>
    <w:lvl w:ilvl="7">
      <w:start w:val="1"/>
      <w:numFmt w:val="lowerLetter"/>
      <w:pStyle w:val="8"/>
      <w:lvlText w:val="(%8)"/>
      <w:legacy w:legacy="1" w:legacySpace="0" w:legacyIndent="720"/>
      <w:lvlJc w:val="left"/>
      <w:pPr>
        <w:ind w:left="4032" w:hanging="720"/>
      </w:pPr>
    </w:lvl>
    <w:lvl w:ilvl="8">
      <w:start w:val="1"/>
      <w:numFmt w:val="lowerRoman"/>
      <w:pStyle w:val="9"/>
      <w:lvlText w:val="(%9)"/>
      <w:legacy w:legacy="1" w:legacySpace="0" w:legacyIndent="720"/>
      <w:lvlJc w:val="left"/>
      <w:pPr>
        <w:ind w:left="4752" w:hanging="720"/>
      </w:pPr>
    </w:lvl>
  </w:abstractNum>
  <w:abstractNum w:abstractNumId="1" w15:restartNumberingAfterBreak="0">
    <w:nsid w:val="01CC1C93"/>
    <w:multiLevelType w:val="hybridMultilevel"/>
    <w:tmpl w:val="B3BA7D24"/>
    <w:lvl w:ilvl="0" w:tplc="D08C06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578CD"/>
    <w:multiLevelType w:val="hybridMultilevel"/>
    <w:tmpl w:val="34224C04"/>
    <w:lvl w:ilvl="0" w:tplc="D08C06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621505"/>
    <w:multiLevelType w:val="multilevel"/>
    <w:tmpl w:val="0E901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F367D0"/>
    <w:multiLevelType w:val="hybridMultilevel"/>
    <w:tmpl w:val="DB62F1F2"/>
    <w:lvl w:ilvl="0" w:tplc="D08C06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A5B30"/>
    <w:multiLevelType w:val="multilevel"/>
    <w:tmpl w:val="0FDA5B3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2C37234"/>
    <w:multiLevelType w:val="multilevel"/>
    <w:tmpl w:val="272E6402"/>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6B37F6"/>
    <w:multiLevelType w:val="hybridMultilevel"/>
    <w:tmpl w:val="1FD45AE2"/>
    <w:lvl w:ilvl="0" w:tplc="0FD4B82A">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440D84"/>
    <w:multiLevelType w:val="hybridMultilevel"/>
    <w:tmpl w:val="44D885AC"/>
    <w:lvl w:ilvl="0" w:tplc="116A4D9A">
      <w:start w:val="1"/>
      <w:numFmt w:val="decimal"/>
      <w:lvlText w:val="%1"/>
      <w:lvlJc w:val="left"/>
      <w:pPr>
        <w:ind w:left="1120" w:hanging="360"/>
      </w:pPr>
      <w:rPr>
        <w:rFonts w:hint="default"/>
      </w:rPr>
    </w:lvl>
    <w:lvl w:ilvl="1" w:tplc="04220019" w:tentative="1">
      <w:start w:val="1"/>
      <w:numFmt w:val="lowerLetter"/>
      <w:lvlText w:val="%2."/>
      <w:lvlJc w:val="left"/>
      <w:pPr>
        <w:ind w:left="1840" w:hanging="360"/>
      </w:pPr>
    </w:lvl>
    <w:lvl w:ilvl="2" w:tplc="0422001B" w:tentative="1">
      <w:start w:val="1"/>
      <w:numFmt w:val="lowerRoman"/>
      <w:lvlText w:val="%3."/>
      <w:lvlJc w:val="right"/>
      <w:pPr>
        <w:ind w:left="2560" w:hanging="180"/>
      </w:pPr>
    </w:lvl>
    <w:lvl w:ilvl="3" w:tplc="0422000F" w:tentative="1">
      <w:start w:val="1"/>
      <w:numFmt w:val="decimal"/>
      <w:lvlText w:val="%4."/>
      <w:lvlJc w:val="left"/>
      <w:pPr>
        <w:ind w:left="3280" w:hanging="360"/>
      </w:pPr>
    </w:lvl>
    <w:lvl w:ilvl="4" w:tplc="04220019" w:tentative="1">
      <w:start w:val="1"/>
      <w:numFmt w:val="lowerLetter"/>
      <w:lvlText w:val="%5."/>
      <w:lvlJc w:val="left"/>
      <w:pPr>
        <w:ind w:left="4000" w:hanging="360"/>
      </w:pPr>
    </w:lvl>
    <w:lvl w:ilvl="5" w:tplc="0422001B" w:tentative="1">
      <w:start w:val="1"/>
      <w:numFmt w:val="lowerRoman"/>
      <w:lvlText w:val="%6."/>
      <w:lvlJc w:val="right"/>
      <w:pPr>
        <w:ind w:left="4720" w:hanging="180"/>
      </w:pPr>
    </w:lvl>
    <w:lvl w:ilvl="6" w:tplc="0422000F" w:tentative="1">
      <w:start w:val="1"/>
      <w:numFmt w:val="decimal"/>
      <w:lvlText w:val="%7."/>
      <w:lvlJc w:val="left"/>
      <w:pPr>
        <w:ind w:left="5440" w:hanging="360"/>
      </w:pPr>
    </w:lvl>
    <w:lvl w:ilvl="7" w:tplc="04220019" w:tentative="1">
      <w:start w:val="1"/>
      <w:numFmt w:val="lowerLetter"/>
      <w:lvlText w:val="%8."/>
      <w:lvlJc w:val="left"/>
      <w:pPr>
        <w:ind w:left="6160" w:hanging="360"/>
      </w:pPr>
    </w:lvl>
    <w:lvl w:ilvl="8" w:tplc="0422001B" w:tentative="1">
      <w:start w:val="1"/>
      <w:numFmt w:val="lowerRoman"/>
      <w:lvlText w:val="%9."/>
      <w:lvlJc w:val="right"/>
      <w:pPr>
        <w:ind w:left="6880" w:hanging="180"/>
      </w:pPr>
    </w:lvl>
  </w:abstractNum>
  <w:abstractNum w:abstractNumId="9" w15:restartNumberingAfterBreak="0">
    <w:nsid w:val="219D454E"/>
    <w:multiLevelType w:val="hybridMultilevel"/>
    <w:tmpl w:val="2CEA68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CB52F3"/>
    <w:multiLevelType w:val="hybridMultilevel"/>
    <w:tmpl w:val="7E8C4F5A"/>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24D652B0"/>
    <w:multiLevelType w:val="hybridMultilevel"/>
    <w:tmpl w:val="DF6237E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2" w15:restartNumberingAfterBreak="0">
    <w:nsid w:val="2DCC2823"/>
    <w:multiLevelType w:val="hybridMultilevel"/>
    <w:tmpl w:val="15CEEA14"/>
    <w:lvl w:ilvl="0" w:tplc="0FD4B82A">
      <w:start w:val="1"/>
      <w:numFmt w:val="bullet"/>
      <w:lvlText w:val="‒"/>
      <w:lvlJc w:val="left"/>
      <w:pPr>
        <w:ind w:left="360" w:hanging="360"/>
      </w:pPr>
      <w:rPr>
        <w:rFonts w:ascii="Calibri" w:hAnsi="Calibri"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2F93607D"/>
    <w:multiLevelType w:val="hybridMultilevel"/>
    <w:tmpl w:val="C90677A0"/>
    <w:lvl w:ilvl="0" w:tplc="0FD4B82A">
      <w:start w:val="1"/>
      <w:numFmt w:val="bullet"/>
      <w:lvlText w:val="‒"/>
      <w:lvlJc w:val="left"/>
      <w:pPr>
        <w:ind w:left="720" w:hanging="360"/>
      </w:pPr>
      <w:rPr>
        <w:rFonts w:ascii="Calibri" w:hAnsi="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7D6EF9"/>
    <w:multiLevelType w:val="multilevel"/>
    <w:tmpl w:val="307D6EF9"/>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EE75CF"/>
    <w:multiLevelType w:val="hybridMultilevel"/>
    <w:tmpl w:val="D034E5CA"/>
    <w:lvl w:ilvl="0" w:tplc="0FD4B82A">
      <w:start w:val="1"/>
      <w:numFmt w:val="bullet"/>
      <w:lvlText w:val="‒"/>
      <w:lvlJc w:val="left"/>
      <w:pPr>
        <w:ind w:left="720" w:hanging="360"/>
      </w:pPr>
      <w:rPr>
        <w:rFonts w:ascii="Calibri" w:hAnsi="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E340E53"/>
    <w:multiLevelType w:val="hybridMultilevel"/>
    <w:tmpl w:val="8EC2388E"/>
    <w:lvl w:ilvl="0" w:tplc="2000000F">
      <w:start w:val="1"/>
      <w:numFmt w:val="decimal"/>
      <w:lvlText w:val="%1."/>
      <w:lvlJc w:val="left"/>
      <w:pPr>
        <w:ind w:left="1004" w:hanging="72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17" w15:restartNumberingAfterBreak="0">
    <w:nsid w:val="3EAD3839"/>
    <w:multiLevelType w:val="multilevel"/>
    <w:tmpl w:val="1DB63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CB586D"/>
    <w:multiLevelType w:val="hybridMultilevel"/>
    <w:tmpl w:val="2EACE68C"/>
    <w:lvl w:ilvl="0" w:tplc="D08C06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BF3B8B"/>
    <w:multiLevelType w:val="multilevel"/>
    <w:tmpl w:val="43BF3B8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46E04424"/>
    <w:multiLevelType w:val="hybridMultilevel"/>
    <w:tmpl w:val="CD5CF028"/>
    <w:lvl w:ilvl="0" w:tplc="D08C06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EA3205"/>
    <w:multiLevelType w:val="multilevel"/>
    <w:tmpl w:val="6CA2E97E"/>
    <w:lvl w:ilvl="0">
      <w:start w:val="1"/>
      <w:numFmt w:val="decimal"/>
      <w:lvlText w:val="%1. "/>
      <w:lvlJc w:val="left"/>
      <w:pPr>
        <w:tabs>
          <w:tab w:val="left" w:pos="720"/>
        </w:tabs>
        <w:ind w:left="720" w:hanging="360"/>
      </w:pPr>
      <w:rPr>
        <w:rFonts w:hint="default"/>
        <w:b w:val="0"/>
        <w:i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46FB4362"/>
    <w:multiLevelType w:val="multilevel"/>
    <w:tmpl w:val="6C9E53C6"/>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4A916987"/>
    <w:multiLevelType w:val="multilevel"/>
    <w:tmpl w:val="4A9169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4DA90FB0"/>
    <w:multiLevelType w:val="multilevel"/>
    <w:tmpl w:val="E924C1D4"/>
    <w:lvl w:ilvl="0">
      <w:start w:val="1"/>
      <w:numFmt w:val="bullet"/>
      <w:lvlText w:val=""/>
      <w:lvlJc w:val="left"/>
      <w:pPr>
        <w:ind w:left="1069" w:hanging="360"/>
      </w:pPr>
      <w:rPr>
        <w:rFonts w:ascii="Symbol" w:hAnsi="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5" w15:restartNumberingAfterBreak="0">
    <w:nsid w:val="4FF112D0"/>
    <w:multiLevelType w:val="hybridMultilevel"/>
    <w:tmpl w:val="CBD405F4"/>
    <w:lvl w:ilvl="0" w:tplc="116A4D9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8796A30"/>
    <w:multiLevelType w:val="multilevel"/>
    <w:tmpl w:val="DF8A5D64"/>
    <w:lvl w:ilvl="0">
      <w:start w:val="1"/>
      <w:numFmt w:val="bullet"/>
      <w:lvlText w:val=""/>
      <w:lvlJc w:val="left"/>
      <w:pPr>
        <w:tabs>
          <w:tab w:val="left" w:pos="1069"/>
        </w:tabs>
        <w:ind w:left="1069" w:hanging="360"/>
      </w:pPr>
      <w:rPr>
        <w:rFonts w:ascii="Symbol" w:hAnsi="Symbol" w:hint="default"/>
        <w:sz w:val="20"/>
      </w:rPr>
    </w:lvl>
    <w:lvl w:ilvl="1">
      <w:start w:val="1"/>
      <w:numFmt w:val="bullet"/>
      <w:lvlText w:val="o"/>
      <w:lvlJc w:val="left"/>
      <w:pPr>
        <w:tabs>
          <w:tab w:val="left" w:pos="1789"/>
        </w:tabs>
        <w:ind w:left="1789" w:hanging="360"/>
      </w:pPr>
      <w:rPr>
        <w:rFonts w:ascii="Courier New" w:hAnsi="Courier New" w:hint="default"/>
        <w:sz w:val="20"/>
      </w:rPr>
    </w:lvl>
    <w:lvl w:ilvl="2">
      <w:start w:val="1"/>
      <w:numFmt w:val="bullet"/>
      <w:lvlText w:val=""/>
      <w:lvlJc w:val="left"/>
      <w:pPr>
        <w:tabs>
          <w:tab w:val="left" w:pos="2509"/>
        </w:tabs>
        <w:ind w:left="2509" w:hanging="360"/>
      </w:pPr>
      <w:rPr>
        <w:rFonts w:ascii="Wingdings" w:hAnsi="Wingdings" w:hint="default"/>
        <w:sz w:val="20"/>
      </w:rPr>
    </w:lvl>
    <w:lvl w:ilvl="3">
      <w:start w:val="1"/>
      <w:numFmt w:val="bullet"/>
      <w:lvlText w:val=""/>
      <w:lvlJc w:val="left"/>
      <w:pPr>
        <w:tabs>
          <w:tab w:val="left" w:pos="3229"/>
        </w:tabs>
        <w:ind w:left="3229" w:hanging="360"/>
      </w:pPr>
      <w:rPr>
        <w:rFonts w:ascii="Wingdings" w:hAnsi="Wingdings" w:hint="default"/>
        <w:sz w:val="20"/>
      </w:rPr>
    </w:lvl>
    <w:lvl w:ilvl="4">
      <w:start w:val="1"/>
      <w:numFmt w:val="bullet"/>
      <w:lvlText w:val=""/>
      <w:lvlJc w:val="left"/>
      <w:pPr>
        <w:tabs>
          <w:tab w:val="left" w:pos="3949"/>
        </w:tabs>
        <w:ind w:left="3949" w:hanging="360"/>
      </w:pPr>
      <w:rPr>
        <w:rFonts w:ascii="Wingdings" w:hAnsi="Wingdings" w:hint="default"/>
        <w:sz w:val="20"/>
      </w:rPr>
    </w:lvl>
    <w:lvl w:ilvl="5">
      <w:start w:val="1"/>
      <w:numFmt w:val="bullet"/>
      <w:lvlText w:val=""/>
      <w:lvlJc w:val="left"/>
      <w:pPr>
        <w:tabs>
          <w:tab w:val="left" w:pos="4669"/>
        </w:tabs>
        <w:ind w:left="4669" w:hanging="360"/>
      </w:pPr>
      <w:rPr>
        <w:rFonts w:ascii="Wingdings" w:hAnsi="Wingdings" w:hint="default"/>
        <w:sz w:val="20"/>
      </w:rPr>
    </w:lvl>
    <w:lvl w:ilvl="6">
      <w:start w:val="1"/>
      <w:numFmt w:val="bullet"/>
      <w:lvlText w:val=""/>
      <w:lvlJc w:val="left"/>
      <w:pPr>
        <w:tabs>
          <w:tab w:val="left" w:pos="5389"/>
        </w:tabs>
        <w:ind w:left="5389" w:hanging="360"/>
      </w:pPr>
      <w:rPr>
        <w:rFonts w:ascii="Wingdings" w:hAnsi="Wingdings" w:hint="default"/>
        <w:sz w:val="20"/>
      </w:rPr>
    </w:lvl>
    <w:lvl w:ilvl="7">
      <w:start w:val="1"/>
      <w:numFmt w:val="bullet"/>
      <w:lvlText w:val=""/>
      <w:lvlJc w:val="left"/>
      <w:pPr>
        <w:tabs>
          <w:tab w:val="left" w:pos="6109"/>
        </w:tabs>
        <w:ind w:left="6109" w:hanging="360"/>
      </w:pPr>
      <w:rPr>
        <w:rFonts w:ascii="Wingdings" w:hAnsi="Wingdings" w:hint="default"/>
        <w:sz w:val="20"/>
      </w:rPr>
    </w:lvl>
    <w:lvl w:ilvl="8">
      <w:start w:val="1"/>
      <w:numFmt w:val="bullet"/>
      <w:lvlText w:val=""/>
      <w:lvlJc w:val="left"/>
      <w:pPr>
        <w:tabs>
          <w:tab w:val="left" w:pos="6829"/>
        </w:tabs>
        <w:ind w:left="6829" w:hanging="360"/>
      </w:pPr>
      <w:rPr>
        <w:rFonts w:ascii="Wingdings" w:hAnsi="Wingdings" w:hint="default"/>
        <w:sz w:val="20"/>
      </w:rPr>
    </w:lvl>
  </w:abstractNum>
  <w:abstractNum w:abstractNumId="27" w15:restartNumberingAfterBreak="0">
    <w:nsid w:val="5A5D735A"/>
    <w:multiLevelType w:val="hybridMultilevel"/>
    <w:tmpl w:val="20C6BCA0"/>
    <w:lvl w:ilvl="0" w:tplc="0FD4B82A">
      <w:start w:val="1"/>
      <w:numFmt w:val="bullet"/>
      <w:lvlText w:val="‒"/>
      <w:lvlJc w:val="left"/>
      <w:pPr>
        <w:ind w:left="360" w:hanging="360"/>
      </w:pPr>
      <w:rPr>
        <w:rFonts w:ascii="Calibri" w:hAnsi="Calibri"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8" w15:restartNumberingAfterBreak="0">
    <w:nsid w:val="5E1462D6"/>
    <w:multiLevelType w:val="hybridMultilevel"/>
    <w:tmpl w:val="D3784F3A"/>
    <w:lvl w:ilvl="0" w:tplc="116A4D9A">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E756C13"/>
    <w:multiLevelType w:val="multilevel"/>
    <w:tmpl w:val="5E756C1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61F12C4E"/>
    <w:multiLevelType w:val="multilevel"/>
    <w:tmpl w:val="BF8251F0"/>
    <w:lvl w:ilvl="0">
      <w:start w:val="1"/>
      <w:numFmt w:val="bullet"/>
      <w:lvlText w:val="‒"/>
      <w:lvlJc w:val="left"/>
      <w:pPr>
        <w:ind w:left="360" w:hanging="360"/>
      </w:pPr>
      <w:rPr>
        <w:rFonts w:ascii="Calibri" w:hAnsi="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648D34F2"/>
    <w:multiLevelType w:val="hybridMultilevel"/>
    <w:tmpl w:val="BBF888F8"/>
    <w:lvl w:ilvl="0" w:tplc="F6E8BA56">
      <w:start w:val="1"/>
      <w:numFmt w:val="decimal"/>
      <w:lvlText w:val="%1. "/>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4A84544"/>
    <w:multiLevelType w:val="hybridMultilevel"/>
    <w:tmpl w:val="248A17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7EC234E"/>
    <w:multiLevelType w:val="hybridMultilevel"/>
    <w:tmpl w:val="3F8094D8"/>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4" w15:restartNumberingAfterBreak="0">
    <w:nsid w:val="6C0D0207"/>
    <w:multiLevelType w:val="hybridMultilevel"/>
    <w:tmpl w:val="7D5237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ECF4F62"/>
    <w:multiLevelType w:val="multilevel"/>
    <w:tmpl w:val="6ECF4F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6FD46211"/>
    <w:multiLevelType w:val="multilevel"/>
    <w:tmpl w:val="272E6402"/>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07542C"/>
    <w:multiLevelType w:val="hybridMultilevel"/>
    <w:tmpl w:val="A1D01EB8"/>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34D1227"/>
    <w:multiLevelType w:val="hybridMultilevel"/>
    <w:tmpl w:val="30580C8E"/>
    <w:lvl w:ilvl="0" w:tplc="5ECE77D0">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9" w15:restartNumberingAfterBreak="0">
    <w:nsid w:val="7B460BE2"/>
    <w:multiLevelType w:val="multilevel"/>
    <w:tmpl w:val="2BEC6BD0"/>
    <w:lvl w:ilvl="0">
      <w:start w:val="1"/>
      <w:numFmt w:val="bullet"/>
      <w:lvlText w:val=""/>
      <w:lvlJc w:val="left"/>
      <w:pPr>
        <w:tabs>
          <w:tab w:val="left" w:pos="1069"/>
        </w:tabs>
        <w:ind w:left="1069" w:hanging="360"/>
      </w:pPr>
      <w:rPr>
        <w:rFonts w:ascii="Symbol" w:hAnsi="Symbol" w:hint="default"/>
        <w:sz w:val="20"/>
      </w:rPr>
    </w:lvl>
    <w:lvl w:ilvl="1">
      <w:start w:val="1"/>
      <w:numFmt w:val="bullet"/>
      <w:lvlText w:val="o"/>
      <w:lvlJc w:val="left"/>
      <w:pPr>
        <w:tabs>
          <w:tab w:val="left" w:pos="1789"/>
        </w:tabs>
        <w:ind w:left="1789" w:hanging="360"/>
      </w:pPr>
      <w:rPr>
        <w:rFonts w:ascii="Courier New" w:hAnsi="Courier New" w:hint="default"/>
        <w:sz w:val="20"/>
      </w:rPr>
    </w:lvl>
    <w:lvl w:ilvl="2">
      <w:start w:val="1"/>
      <w:numFmt w:val="bullet"/>
      <w:lvlText w:val=""/>
      <w:lvlJc w:val="left"/>
      <w:pPr>
        <w:tabs>
          <w:tab w:val="left" w:pos="2509"/>
        </w:tabs>
        <w:ind w:left="2509" w:hanging="360"/>
      </w:pPr>
      <w:rPr>
        <w:rFonts w:ascii="Wingdings" w:hAnsi="Wingdings" w:hint="default"/>
        <w:sz w:val="20"/>
      </w:rPr>
    </w:lvl>
    <w:lvl w:ilvl="3">
      <w:start w:val="1"/>
      <w:numFmt w:val="bullet"/>
      <w:lvlText w:val=""/>
      <w:lvlJc w:val="left"/>
      <w:pPr>
        <w:tabs>
          <w:tab w:val="left" w:pos="3229"/>
        </w:tabs>
        <w:ind w:left="3229" w:hanging="360"/>
      </w:pPr>
      <w:rPr>
        <w:rFonts w:ascii="Wingdings" w:hAnsi="Wingdings" w:hint="default"/>
        <w:sz w:val="20"/>
      </w:rPr>
    </w:lvl>
    <w:lvl w:ilvl="4">
      <w:start w:val="1"/>
      <w:numFmt w:val="bullet"/>
      <w:lvlText w:val=""/>
      <w:lvlJc w:val="left"/>
      <w:pPr>
        <w:tabs>
          <w:tab w:val="left" w:pos="3949"/>
        </w:tabs>
        <w:ind w:left="3949" w:hanging="360"/>
      </w:pPr>
      <w:rPr>
        <w:rFonts w:ascii="Wingdings" w:hAnsi="Wingdings" w:hint="default"/>
        <w:sz w:val="20"/>
      </w:rPr>
    </w:lvl>
    <w:lvl w:ilvl="5">
      <w:start w:val="1"/>
      <w:numFmt w:val="bullet"/>
      <w:lvlText w:val=""/>
      <w:lvlJc w:val="left"/>
      <w:pPr>
        <w:tabs>
          <w:tab w:val="left" w:pos="4669"/>
        </w:tabs>
        <w:ind w:left="4669" w:hanging="360"/>
      </w:pPr>
      <w:rPr>
        <w:rFonts w:ascii="Wingdings" w:hAnsi="Wingdings" w:hint="default"/>
        <w:sz w:val="20"/>
      </w:rPr>
    </w:lvl>
    <w:lvl w:ilvl="6">
      <w:start w:val="1"/>
      <w:numFmt w:val="bullet"/>
      <w:lvlText w:val=""/>
      <w:lvlJc w:val="left"/>
      <w:pPr>
        <w:tabs>
          <w:tab w:val="left" w:pos="5389"/>
        </w:tabs>
        <w:ind w:left="5389" w:hanging="360"/>
      </w:pPr>
      <w:rPr>
        <w:rFonts w:ascii="Wingdings" w:hAnsi="Wingdings" w:hint="default"/>
        <w:sz w:val="20"/>
      </w:rPr>
    </w:lvl>
    <w:lvl w:ilvl="7">
      <w:start w:val="1"/>
      <w:numFmt w:val="bullet"/>
      <w:lvlText w:val=""/>
      <w:lvlJc w:val="left"/>
      <w:pPr>
        <w:tabs>
          <w:tab w:val="left" w:pos="6109"/>
        </w:tabs>
        <w:ind w:left="6109" w:hanging="360"/>
      </w:pPr>
      <w:rPr>
        <w:rFonts w:ascii="Wingdings" w:hAnsi="Wingdings" w:hint="default"/>
        <w:sz w:val="20"/>
      </w:rPr>
    </w:lvl>
    <w:lvl w:ilvl="8">
      <w:start w:val="1"/>
      <w:numFmt w:val="bullet"/>
      <w:lvlText w:val=""/>
      <w:lvlJc w:val="left"/>
      <w:pPr>
        <w:tabs>
          <w:tab w:val="left" w:pos="6829"/>
        </w:tabs>
        <w:ind w:left="6829" w:hanging="360"/>
      </w:pPr>
      <w:rPr>
        <w:rFonts w:ascii="Wingdings" w:hAnsi="Wingdings" w:hint="default"/>
        <w:sz w:val="20"/>
      </w:rPr>
    </w:lvl>
  </w:abstractNum>
  <w:abstractNum w:abstractNumId="40" w15:restartNumberingAfterBreak="0">
    <w:nsid w:val="7CEA6105"/>
    <w:multiLevelType w:val="hybridMultilevel"/>
    <w:tmpl w:val="8FB21C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1" w15:restartNumberingAfterBreak="0">
    <w:nsid w:val="7D823F17"/>
    <w:multiLevelType w:val="hybridMultilevel"/>
    <w:tmpl w:val="49C2040C"/>
    <w:lvl w:ilvl="0" w:tplc="20000001">
      <w:start w:val="1"/>
      <w:numFmt w:val="bullet"/>
      <w:lvlText w:val=""/>
      <w:lvlJc w:val="left"/>
      <w:pPr>
        <w:ind w:left="360" w:hanging="360"/>
      </w:pPr>
      <w:rPr>
        <w:rFonts w:ascii="Symbol" w:hAnsi="Symbol"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9"/>
  </w:num>
  <w:num w:numId="2">
    <w:abstractNumId w:val="34"/>
  </w:num>
  <w:num w:numId="3">
    <w:abstractNumId w:val="24"/>
  </w:num>
  <w:num w:numId="4">
    <w:abstractNumId w:val="5"/>
  </w:num>
  <w:num w:numId="5">
    <w:abstractNumId w:val="3"/>
  </w:num>
  <w:num w:numId="6">
    <w:abstractNumId w:val="23"/>
  </w:num>
  <w:num w:numId="7">
    <w:abstractNumId w:val="35"/>
  </w:num>
  <w:num w:numId="8">
    <w:abstractNumId w:val="29"/>
  </w:num>
  <w:num w:numId="9">
    <w:abstractNumId w:val="19"/>
  </w:num>
  <w:num w:numId="10">
    <w:abstractNumId w:val="14"/>
  </w:num>
  <w:num w:numId="11">
    <w:abstractNumId w:val="4"/>
  </w:num>
  <w:num w:numId="12">
    <w:abstractNumId w:val="2"/>
  </w:num>
  <w:num w:numId="13">
    <w:abstractNumId w:val="20"/>
  </w:num>
  <w:num w:numId="14">
    <w:abstractNumId w:val="18"/>
  </w:num>
  <w:num w:numId="15">
    <w:abstractNumId w:val="1"/>
  </w:num>
  <w:num w:numId="16">
    <w:abstractNumId w:val="40"/>
  </w:num>
  <w:num w:numId="17">
    <w:abstractNumId w:val="7"/>
  </w:num>
  <w:num w:numId="18">
    <w:abstractNumId w:val="0"/>
  </w:num>
  <w:num w:numId="19">
    <w:abstractNumId w:val="32"/>
  </w:num>
  <w:num w:numId="20">
    <w:abstractNumId w:val="26"/>
  </w:num>
  <w:num w:numId="21">
    <w:abstractNumId w:val="39"/>
  </w:num>
  <w:num w:numId="22">
    <w:abstractNumId w:val="22"/>
  </w:num>
  <w:num w:numId="23">
    <w:abstractNumId w:val="21"/>
  </w:num>
  <w:num w:numId="24">
    <w:abstractNumId w:val="12"/>
  </w:num>
  <w:num w:numId="25">
    <w:abstractNumId w:val="33"/>
  </w:num>
  <w:num w:numId="26">
    <w:abstractNumId w:val="41"/>
  </w:num>
  <w:num w:numId="27">
    <w:abstractNumId w:val="27"/>
  </w:num>
  <w:num w:numId="28">
    <w:abstractNumId w:val="16"/>
  </w:num>
  <w:num w:numId="29">
    <w:abstractNumId w:val="11"/>
  </w:num>
  <w:num w:numId="30">
    <w:abstractNumId w:val="17"/>
  </w:num>
  <w:num w:numId="31">
    <w:abstractNumId w:val="30"/>
  </w:num>
  <w:num w:numId="32">
    <w:abstractNumId w:val="10"/>
  </w:num>
  <w:num w:numId="33">
    <w:abstractNumId w:val="38"/>
  </w:num>
  <w:num w:numId="34">
    <w:abstractNumId w:val="31"/>
  </w:num>
  <w:num w:numId="35">
    <w:abstractNumId w:val="28"/>
  </w:num>
  <w:num w:numId="36">
    <w:abstractNumId w:val="6"/>
  </w:num>
  <w:num w:numId="37">
    <w:abstractNumId w:val="36"/>
  </w:num>
  <w:num w:numId="38">
    <w:abstractNumId w:val="25"/>
  </w:num>
  <w:num w:numId="39">
    <w:abstractNumId w:val="13"/>
  </w:num>
  <w:num w:numId="40">
    <w:abstractNumId w:val="15"/>
  </w:num>
  <w:num w:numId="41">
    <w:abstractNumId w:val="8"/>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FF1"/>
    <w:rsid w:val="00007251"/>
    <w:rsid w:val="00020F47"/>
    <w:rsid w:val="0004642B"/>
    <w:rsid w:val="00047380"/>
    <w:rsid w:val="00054485"/>
    <w:rsid w:val="00057EBA"/>
    <w:rsid w:val="000634B0"/>
    <w:rsid w:val="00096215"/>
    <w:rsid w:val="000A043F"/>
    <w:rsid w:val="000B1B0D"/>
    <w:rsid w:val="000C455D"/>
    <w:rsid w:val="000D2A09"/>
    <w:rsid w:val="000F5B64"/>
    <w:rsid w:val="00111B47"/>
    <w:rsid w:val="00116983"/>
    <w:rsid w:val="001266DB"/>
    <w:rsid w:val="00131799"/>
    <w:rsid w:val="001453E6"/>
    <w:rsid w:val="001536DC"/>
    <w:rsid w:val="00154A48"/>
    <w:rsid w:val="00176F9B"/>
    <w:rsid w:val="00183043"/>
    <w:rsid w:val="001930E0"/>
    <w:rsid w:val="00193E62"/>
    <w:rsid w:val="00196365"/>
    <w:rsid w:val="001A2ADD"/>
    <w:rsid w:val="001A7F79"/>
    <w:rsid w:val="001B6759"/>
    <w:rsid w:val="001C21A4"/>
    <w:rsid w:val="001D4B3E"/>
    <w:rsid w:val="001F241E"/>
    <w:rsid w:val="00200272"/>
    <w:rsid w:val="00216BDE"/>
    <w:rsid w:val="002221E1"/>
    <w:rsid w:val="00242BFD"/>
    <w:rsid w:val="00255BD0"/>
    <w:rsid w:val="00256A56"/>
    <w:rsid w:val="002605FD"/>
    <w:rsid w:val="002626B3"/>
    <w:rsid w:val="00281E95"/>
    <w:rsid w:val="00285613"/>
    <w:rsid w:val="00296C61"/>
    <w:rsid w:val="002A289F"/>
    <w:rsid w:val="002B750E"/>
    <w:rsid w:val="002E5C5D"/>
    <w:rsid w:val="003053C3"/>
    <w:rsid w:val="00317FF1"/>
    <w:rsid w:val="00327C26"/>
    <w:rsid w:val="003462C2"/>
    <w:rsid w:val="00361123"/>
    <w:rsid w:val="0036193A"/>
    <w:rsid w:val="00390FD3"/>
    <w:rsid w:val="00394CF1"/>
    <w:rsid w:val="004031DA"/>
    <w:rsid w:val="0040360B"/>
    <w:rsid w:val="004045D9"/>
    <w:rsid w:val="00411659"/>
    <w:rsid w:val="004316F1"/>
    <w:rsid w:val="0045171E"/>
    <w:rsid w:val="004534B0"/>
    <w:rsid w:val="00464ECE"/>
    <w:rsid w:val="00467D7F"/>
    <w:rsid w:val="00485A43"/>
    <w:rsid w:val="004A220B"/>
    <w:rsid w:val="004B551C"/>
    <w:rsid w:val="004C716C"/>
    <w:rsid w:val="004D0A96"/>
    <w:rsid w:val="004D17D7"/>
    <w:rsid w:val="004D281C"/>
    <w:rsid w:val="004E252A"/>
    <w:rsid w:val="004E7AE8"/>
    <w:rsid w:val="0050428A"/>
    <w:rsid w:val="005108BD"/>
    <w:rsid w:val="00511DCB"/>
    <w:rsid w:val="00522144"/>
    <w:rsid w:val="00537481"/>
    <w:rsid w:val="0055237A"/>
    <w:rsid w:val="005634CE"/>
    <w:rsid w:val="00574F88"/>
    <w:rsid w:val="00582ECB"/>
    <w:rsid w:val="005A51CF"/>
    <w:rsid w:val="005E5659"/>
    <w:rsid w:val="006328DB"/>
    <w:rsid w:val="00634B1F"/>
    <w:rsid w:val="00662A7C"/>
    <w:rsid w:val="006A269A"/>
    <w:rsid w:val="006A2E2C"/>
    <w:rsid w:val="006D720C"/>
    <w:rsid w:val="006E5A62"/>
    <w:rsid w:val="006F041A"/>
    <w:rsid w:val="006F05D1"/>
    <w:rsid w:val="00716D6F"/>
    <w:rsid w:val="007207CF"/>
    <w:rsid w:val="0072389B"/>
    <w:rsid w:val="00723C8E"/>
    <w:rsid w:val="00730F1E"/>
    <w:rsid w:val="0073547A"/>
    <w:rsid w:val="00735657"/>
    <w:rsid w:val="00765B3C"/>
    <w:rsid w:val="007807F8"/>
    <w:rsid w:val="00782651"/>
    <w:rsid w:val="007829A1"/>
    <w:rsid w:val="007977C0"/>
    <w:rsid w:val="007B4B33"/>
    <w:rsid w:val="007C2C00"/>
    <w:rsid w:val="007C5F89"/>
    <w:rsid w:val="007D2175"/>
    <w:rsid w:val="007D538A"/>
    <w:rsid w:val="007E17CF"/>
    <w:rsid w:val="007E2E2B"/>
    <w:rsid w:val="00800058"/>
    <w:rsid w:val="00813334"/>
    <w:rsid w:val="008229D5"/>
    <w:rsid w:val="00856FDD"/>
    <w:rsid w:val="00873B01"/>
    <w:rsid w:val="00880D84"/>
    <w:rsid w:val="00893D73"/>
    <w:rsid w:val="008940D6"/>
    <w:rsid w:val="008B5DA5"/>
    <w:rsid w:val="008D2490"/>
    <w:rsid w:val="008E16EF"/>
    <w:rsid w:val="008E2A76"/>
    <w:rsid w:val="008E5E95"/>
    <w:rsid w:val="00905873"/>
    <w:rsid w:val="00905AEE"/>
    <w:rsid w:val="00910500"/>
    <w:rsid w:val="00917017"/>
    <w:rsid w:val="00927061"/>
    <w:rsid w:val="00941790"/>
    <w:rsid w:val="009553E0"/>
    <w:rsid w:val="009A0AF0"/>
    <w:rsid w:val="009B04BD"/>
    <w:rsid w:val="009D76EB"/>
    <w:rsid w:val="009E328E"/>
    <w:rsid w:val="00A109E7"/>
    <w:rsid w:val="00A22132"/>
    <w:rsid w:val="00A723E5"/>
    <w:rsid w:val="00A92EBF"/>
    <w:rsid w:val="00AB4217"/>
    <w:rsid w:val="00AB6380"/>
    <w:rsid w:val="00AE314C"/>
    <w:rsid w:val="00AE3F79"/>
    <w:rsid w:val="00AE51B5"/>
    <w:rsid w:val="00AF4174"/>
    <w:rsid w:val="00B2614F"/>
    <w:rsid w:val="00B2729C"/>
    <w:rsid w:val="00B44E33"/>
    <w:rsid w:val="00B4507C"/>
    <w:rsid w:val="00B5007F"/>
    <w:rsid w:val="00B5169A"/>
    <w:rsid w:val="00B55E2E"/>
    <w:rsid w:val="00B860D7"/>
    <w:rsid w:val="00B91A4D"/>
    <w:rsid w:val="00B9741D"/>
    <w:rsid w:val="00BA2224"/>
    <w:rsid w:val="00BB35BA"/>
    <w:rsid w:val="00BB4529"/>
    <w:rsid w:val="00BB4B5B"/>
    <w:rsid w:val="00BC45EE"/>
    <w:rsid w:val="00BD02D7"/>
    <w:rsid w:val="00BE2CA9"/>
    <w:rsid w:val="00BF7693"/>
    <w:rsid w:val="00C04BB3"/>
    <w:rsid w:val="00C163D5"/>
    <w:rsid w:val="00C2395A"/>
    <w:rsid w:val="00C23E20"/>
    <w:rsid w:val="00C376D7"/>
    <w:rsid w:val="00C471C0"/>
    <w:rsid w:val="00C65F94"/>
    <w:rsid w:val="00C70020"/>
    <w:rsid w:val="00C71444"/>
    <w:rsid w:val="00C84311"/>
    <w:rsid w:val="00C85076"/>
    <w:rsid w:val="00CB3AA4"/>
    <w:rsid w:val="00CC3DF6"/>
    <w:rsid w:val="00CD05BF"/>
    <w:rsid w:val="00CD1542"/>
    <w:rsid w:val="00CE34FB"/>
    <w:rsid w:val="00CE69C6"/>
    <w:rsid w:val="00CF16E7"/>
    <w:rsid w:val="00CF1CD1"/>
    <w:rsid w:val="00CF238C"/>
    <w:rsid w:val="00CF614A"/>
    <w:rsid w:val="00D046DF"/>
    <w:rsid w:val="00D12AEC"/>
    <w:rsid w:val="00D14780"/>
    <w:rsid w:val="00D47012"/>
    <w:rsid w:val="00D51AC4"/>
    <w:rsid w:val="00D65490"/>
    <w:rsid w:val="00D654E6"/>
    <w:rsid w:val="00D66E80"/>
    <w:rsid w:val="00D964D3"/>
    <w:rsid w:val="00DB46CB"/>
    <w:rsid w:val="00DC7619"/>
    <w:rsid w:val="00DC7C29"/>
    <w:rsid w:val="00DD72DE"/>
    <w:rsid w:val="00DF6B9F"/>
    <w:rsid w:val="00E2596C"/>
    <w:rsid w:val="00E26674"/>
    <w:rsid w:val="00E311BB"/>
    <w:rsid w:val="00E60C29"/>
    <w:rsid w:val="00E64299"/>
    <w:rsid w:val="00E7288E"/>
    <w:rsid w:val="00E93535"/>
    <w:rsid w:val="00EB1423"/>
    <w:rsid w:val="00EC3FE9"/>
    <w:rsid w:val="00EE21F7"/>
    <w:rsid w:val="00EE2AF9"/>
    <w:rsid w:val="00EE4C6E"/>
    <w:rsid w:val="00EE7C42"/>
    <w:rsid w:val="00EF67E4"/>
    <w:rsid w:val="00F033CC"/>
    <w:rsid w:val="00F038D5"/>
    <w:rsid w:val="00F261AF"/>
    <w:rsid w:val="00F309A8"/>
    <w:rsid w:val="00F47305"/>
    <w:rsid w:val="00F52A57"/>
    <w:rsid w:val="00F62CFE"/>
    <w:rsid w:val="00F651E9"/>
    <w:rsid w:val="00F86911"/>
    <w:rsid w:val="00FA2AAE"/>
    <w:rsid w:val="00FC5068"/>
    <w:rsid w:val="00FC6D77"/>
    <w:rsid w:val="00FD3807"/>
    <w:rsid w:val="00FD5C59"/>
    <w:rsid w:val="00FE6FD4"/>
    <w:rsid w:val="00FF1279"/>
    <w:rsid w:val="00FF4309"/>
    <w:rsid w:val="00FF475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8685"/>
  <w15:docId w15:val="{665901F8-BB51-43A5-8123-9CBEED3B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B0D"/>
  </w:style>
  <w:style w:type="paragraph" w:styleId="1">
    <w:name w:val="heading 1"/>
    <w:basedOn w:val="a"/>
    <w:next w:val="a"/>
    <w:link w:val="10"/>
    <w:qFormat/>
    <w:rsid w:val="00927061"/>
    <w:pPr>
      <w:keepNext/>
      <w:numPr>
        <w:numId w:val="18"/>
      </w:numPr>
      <w:autoSpaceDE w:val="0"/>
      <w:autoSpaceDN w:val="0"/>
      <w:spacing w:before="240" w:after="80" w:line="240" w:lineRule="auto"/>
      <w:jc w:val="center"/>
      <w:outlineLvl w:val="0"/>
    </w:pPr>
    <w:rPr>
      <w:rFonts w:ascii="Times New Roman" w:eastAsia="PMingLiU" w:hAnsi="Times New Roman" w:cs="Times New Roman"/>
      <w:smallCaps/>
      <w:kern w:val="28"/>
      <w:sz w:val="20"/>
      <w:szCs w:val="20"/>
      <w:lang w:val="en-US" w:eastAsia="en-US"/>
    </w:rPr>
  </w:style>
  <w:style w:type="paragraph" w:styleId="2">
    <w:name w:val="heading 2"/>
    <w:basedOn w:val="a"/>
    <w:next w:val="a"/>
    <w:link w:val="20"/>
    <w:qFormat/>
    <w:rsid w:val="00927061"/>
    <w:pPr>
      <w:keepNext/>
      <w:numPr>
        <w:ilvl w:val="1"/>
        <w:numId w:val="18"/>
      </w:numPr>
      <w:autoSpaceDE w:val="0"/>
      <w:autoSpaceDN w:val="0"/>
      <w:spacing w:before="120" w:after="60" w:line="240" w:lineRule="auto"/>
      <w:ind w:left="144"/>
      <w:outlineLvl w:val="1"/>
    </w:pPr>
    <w:rPr>
      <w:rFonts w:ascii="Times New Roman" w:eastAsia="PMingLiU" w:hAnsi="Times New Roman" w:cs="Times New Roman"/>
      <w:i/>
      <w:iCs/>
      <w:kern w:val="0"/>
      <w:sz w:val="20"/>
      <w:szCs w:val="20"/>
      <w:lang w:val="en-US" w:eastAsia="en-US"/>
    </w:rPr>
  </w:style>
  <w:style w:type="paragraph" w:styleId="3">
    <w:name w:val="heading 3"/>
    <w:basedOn w:val="a"/>
    <w:next w:val="a"/>
    <w:link w:val="30"/>
    <w:qFormat/>
    <w:rsid w:val="00927061"/>
    <w:pPr>
      <w:keepNext/>
      <w:numPr>
        <w:ilvl w:val="2"/>
        <w:numId w:val="18"/>
      </w:numPr>
      <w:autoSpaceDE w:val="0"/>
      <w:autoSpaceDN w:val="0"/>
      <w:spacing w:before="60" w:after="60" w:line="240" w:lineRule="auto"/>
      <w:ind w:left="232"/>
      <w:outlineLvl w:val="2"/>
    </w:pPr>
    <w:rPr>
      <w:rFonts w:ascii="Times New Roman" w:eastAsia="PMingLiU" w:hAnsi="Times New Roman" w:cs="Times New Roman"/>
      <w:i/>
      <w:iCs/>
      <w:kern w:val="0"/>
      <w:sz w:val="20"/>
      <w:szCs w:val="20"/>
      <w:lang w:val="en-US" w:eastAsia="en-US"/>
    </w:rPr>
  </w:style>
  <w:style w:type="paragraph" w:styleId="4">
    <w:name w:val="heading 4"/>
    <w:basedOn w:val="a"/>
    <w:next w:val="a"/>
    <w:link w:val="40"/>
    <w:qFormat/>
    <w:rsid w:val="00927061"/>
    <w:pPr>
      <w:keepNext/>
      <w:numPr>
        <w:ilvl w:val="3"/>
        <w:numId w:val="18"/>
      </w:numPr>
      <w:autoSpaceDE w:val="0"/>
      <w:autoSpaceDN w:val="0"/>
      <w:spacing w:before="40" w:after="40" w:line="240" w:lineRule="auto"/>
      <w:ind w:left="284" w:firstLine="0"/>
      <w:outlineLvl w:val="3"/>
    </w:pPr>
    <w:rPr>
      <w:rFonts w:ascii="Times New Roman" w:eastAsia="PMingLiU" w:hAnsi="Times New Roman" w:cs="Times New Roman"/>
      <w:i/>
      <w:iCs/>
      <w:kern w:val="0"/>
      <w:sz w:val="20"/>
      <w:szCs w:val="18"/>
      <w:lang w:val="en-US" w:eastAsia="zh-TW"/>
    </w:rPr>
  </w:style>
  <w:style w:type="paragraph" w:styleId="5">
    <w:name w:val="heading 5"/>
    <w:basedOn w:val="a"/>
    <w:next w:val="a"/>
    <w:link w:val="50"/>
    <w:qFormat/>
    <w:rsid w:val="00927061"/>
    <w:pPr>
      <w:numPr>
        <w:ilvl w:val="4"/>
        <w:numId w:val="18"/>
      </w:numPr>
      <w:autoSpaceDE w:val="0"/>
      <w:autoSpaceDN w:val="0"/>
      <w:spacing w:before="240" w:after="60" w:line="240" w:lineRule="auto"/>
      <w:outlineLvl w:val="4"/>
    </w:pPr>
    <w:rPr>
      <w:rFonts w:ascii="Times New Roman" w:eastAsia="PMingLiU" w:hAnsi="Times New Roman" w:cs="Times New Roman"/>
      <w:kern w:val="0"/>
      <w:sz w:val="18"/>
      <w:szCs w:val="18"/>
      <w:lang w:val="en-US" w:eastAsia="en-US"/>
    </w:rPr>
  </w:style>
  <w:style w:type="paragraph" w:styleId="6">
    <w:name w:val="heading 6"/>
    <w:basedOn w:val="a"/>
    <w:next w:val="a"/>
    <w:link w:val="60"/>
    <w:qFormat/>
    <w:rsid w:val="00927061"/>
    <w:pPr>
      <w:numPr>
        <w:ilvl w:val="5"/>
        <w:numId w:val="18"/>
      </w:numPr>
      <w:autoSpaceDE w:val="0"/>
      <w:autoSpaceDN w:val="0"/>
      <w:spacing w:before="240" w:after="60" w:line="240" w:lineRule="auto"/>
      <w:outlineLvl w:val="5"/>
    </w:pPr>
    <w:rPr>
      <w:rFonts w:ascii="Times New Roman" w:eastAsia="PMingLiU" w:hAnsi="Times New Roman" w:cs="Times New Roman"/>
      <w:i/>
      <w:iCs/>
      <w:kern w:val="0"/>
      <w:sz w:val="16"/>
      <w:szCs w:val="16"/>
      <w:lang w:val="en-US" w:eastAsia="en-US"/>
    </w:rPr>
  </w:style>
  <w:style w:type="paragraph" w:styleId="7">
    <w:name w:val="heading 7"/>
    <w:basedOn w:val="a"/>
    <w:next w:val="a"/>
    <w:link w:val="70"/>
    <w:qFormat/>
    <w:rsid w:val="00927061"/>
    <w:pPr>
      <w:numPr>
        <w:ilvl w:val="6"/>
        <w:numId w:val="18"/>
      </w:numPr>
      <w:autoSpaceDE w:val="0"/>
      <w:autoSpaceDN w:val="0"/>
      <w:spacing w:before="240" w:after="60" w:line="240" w:lineRule="auto"/>
      <w:outlineLvl w:val="6"/>
    </w:pPr>
    <w:rPr>
      <w:rFonts w:ascii="Times New Roman" w:eastAsia="PMingLiU" w:hAnsi="Times New Roman" w:cs="Times New Roman"/>
      <w:kern w:val="0"/>
      <w:sz w:val="16"/>
      <w:szCs w:val="16"/>
      <w:lang w:val="en-US" w:eastAsia="en-US"/>
    </w:rPr>
  </w:style>
  <w:style w:type="paragraph" w:styleId="8">
    <w:name w:val="heading 8"/>
    <w:basedOn w:val="a"/>
    <w:next w:val="a"/>
    <w:link w:val="80"/>
    <w:qFormat/>
    <w:rsid w:val="00927061"/>
    <w:pPr>
      <w:numPr>
        <w:ilvl w:val="7"/>
        <w:numId w:val="18"/>
      </w:numPr>
      <w:autoSpaceDE w:val="0"/>
      <w:autoSpaceDN w:val="0"/>
      <w:spacing w:before="240" w:after="60" w:line="240" w:lineRule="auto"/>
      <w:outlineLvl w:val="7"/>
    </w:pPr>
    <w:rPr>
      <w:rFonts w:ascii="Times New Roman" w:eastAsia="PMingLiU" w:hAnsi="Times New Roman" w:cs="Times New Roman"/>
      <w:i/>
      <w:iCs/>
      <w:kern w:val="0"/>
      <w:sz w:val="16"/>
      <w:szCs w:val="16"/>
      <w:lang w:val="en-US" w:eastAsia="en-US"/>
    </w:rPr>
  </w:style>
  <w:style w:type="paragraph" w:styleId="9">
    <w:name w:val="heading 9"/>
    <w:basedOn w:val="a"/>
    <w:next w:val="a"/>
    <w:link w:val="90"/>
    <w:qFormat/>
    <w:rsid w:val="00927061"/>
    <w:pPr>
      <w:numPr>
        <w:ilvl w:val="8"/>
        <w:numId w:val="18"/>
      </w:numPr>
      <w:autoSpaceDE w:val="0"/>
      <w:autoSpaceDN w:val="0"/>
      <w:spacing w:before="240" w:after="60" w:line="240" w:lineRule="auto"/>
      <w:outlineLvl w:val="8"/>
    </w:pPr>
    <w:rPr>
      <w:rFonts w:ascii="Times New Roman" w:eastAsia="PMingLiU" w:hAnsi="Times New Roman" w:cs="Times New Roman"/>
      <w:kern w:val="0"/>
      <w:sz w:val="16"/>
      <w:szCs w:val="1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21F7"/>
    <w:rPr>
      <w:color w:val="0563C1" w:themeColor="hyperlink"/>
      <w:u w:val="single"/>
    </w:rPr>
  </w:style>
  <w:style w:type="character" w:customStyle="1" w:styleId="11">
    <w:name w:val="Незакрита згадка1"/>
    <w:basedOn w:val="a0"/>
    <w:uiPriority w:val="99"/>
    <w:semiHidden/>
    <w:unhideWhenUsed/>
    <w:rsid w:val="00EE21F7"/>
    <w:rPr>
      <w:color w:val="605E5C"/>
      <w:shd w:val="clear" w:color="auto" w:fill="E1DFDD"/>
    </w:rPr>
  </w:style>
  <w:style w:type="table" w:styleId="a4">
    <w:name w:val="Table Grid"/>
    <w:basedOn w:val="a1"/>
    <w:uiPriority w:val="39"/>
    <w:rsid w:val="00EE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C455D"/>
    <w:pPr>
      <w:tabs>
        <w:tab w:val="center" w:pos="4252"/>
        <w:tab w:val="right" w:pos="8504"/>
      </w:tabs>
      <w:spacing w:after="0" w:line="240" w:lineRule="auto"/>
    </w:pPr>
  </w:style>
  <w:style w:type="character" w:customStyle="1" w:styleId="a6">
    <w:name w:val="Верхний колонтитул Знак"/>
    <w:basedOn w:val="a0"/>
    <w:link w:val="a5"/>
    <w:uiPriority w:val="99"/>
    <w:rsid w:val="000C455D"/>
  </w:style>
  <w:style w:type="paragraph" w:styleId="a7">
    <w:name w:val="footer"/>
    <w:basedOn w:val="a"/>
    <w:link w:val="a8"/>
    <w:uiPriority w:val="99"/>
    <w:unhideWhenUsed/>
    <w:rsid w:val="000C455D"/>
    <w:pPr>
      <w:tabs>
        <w:tab w:val="center" w:pos="4252"/>
        <w:tab w:val="right" w:pos="8504"/>
      </w:tabs>
      <w:spacing w:after="0" w:line="240" w:lineRule="auto"/>
    </w:pPr>
  </w:style>
  <w:style w:type="character" w:customStyle="1" w:styleId="a8">
    <w:name w:val="Нижний колонтитул Знак"/>
    <w:basedOn w:val="a0"/>
    <w:link w:val="a7"/>
    <w:uiPriority w:val="99"/>
    <w:rsid w:val="000C455D"/>
  </w:style>
  <w:style w:type="paragraph" w:styleId="a9">
    <w:name w:val="List Paragraph"/>
    <w:basedOn w:val="a"/>
    <w:uiPriority w:val="34"/>
    <w:qFormat/>
    <w:rsid w:val="00D964D3"/>
    <w:pPr>
      <w:ind w:left="720"/>
      <w:contextualSpacing/>
    </w:pPr>
  </w:style>
  <w:style w:type="paragraph" w:customStyle="1" w:styleId="Affiliation">
    <w:name w:val="Affiliation"/>
    <w:rsid w:val="00941790"/>
    <w:pPr>
      <w:spacing w:after="0" w:line="240" w:lineRule="auto"/>
      <w:jc w:val="center"/>
    </w:pPr>
    <w:rPr>
      <w:rFonts w:ascii="Arial" w:eastAsia="SimSun" w:hAnsi="Arial" w:cs="Arial"/>
      <w:kern w:val="0"/>
      <w:sz w:val="20"/>
      <w:szCs w:val="20"/>
      <w:lang w:val="en-US" w:eastAsia="en-US"/>
    </w:rPr>
  </w:style>
  <w:style w:type="paragraph" w:customStyle="1" w:styleId="StyleAuthorAsianMSMincho">
    <w:name w:val="Style Author + (Asian) MS Mincho"/>
    <w:basedOn w:val="a"/>
    <w:rsid w:val="00941790"/>
    <w:pPr>
      <w:spacing w:after="0" w:line="240" w:lineRule="auto"/>
      <w:jc w:val="center"/>
    </w:pPr>
    <w:rPr>
      <w:rFonts w:ascii="Arial" w:eastAsia="Wingdings" w:hAnsi="Arial" w:cs="Arial"/>
      <w:kern w:val="0"/>
      <w:szCs w:val="20"/>
      <w:lang w:val="en-US" w:eastAsia="en-US"/>
    </w:rPr>
  </w:style>
  <w:style w:type="paragraph" w:styleId="aa">
    <w:name w:val="Balloon Text"/>
    <w:basedOn w:val="a"/>
    <w:link w:val="ab"/>
    <w:uiPriority w:val="99"/>
    <w:semiHidden/>
    <w:unhideWhenUsed/>
    <w:rsid w:val="0092706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7061"/>
    <w:rPr>
      <w:rFonts w:ascii="Tahoma" w:hAnsi="Tahoma" w:cs="Tahoma"/>
      <w:sz w:val="16"/>
      <w:szCs w:val="16"/>
    </w:rPr>
  </w:style>
  <w:style w:type="paragraph" w:customStyle="1" w:styleId="Text">
    <w:name w:val="Text"/>
    <w:basedOn w:val="a"/>
    <w:rsid w:val="00927061"/>
    <w:pPr>
      <w:widowControl w:val="0"/>
      <w:autoSpaceDE w:val="0"/>
      <w:autoSpaceDN w:val="0"/>
      <w:spacing w:after="0" w:line="252" w:lineRule="auto"/>
      <w:ind w:firstLine="202"/>
      <w:jc w:val="both"/>
    </w:pPr>
    <w:rPr>
      <w:rFonts w:ascii="Times New Roman" w:eastAsia="PMingLiU" w:hAnsi="Times New Roman" w:cs="Times New Roman"/>
      <w:kern w:val="0"/>
      <w:sz w:val="20"/>
      <w:szCs w:val="20"/>
      <w:lang w:val="en-US" w:eastAsia="en-US"/>
    </w:rPr>
  </w:style>
  <w:style w:type="character" w:customStyle="1" w:styleId="10">
    <w:name w:val="Заголовок 1 Знак"/>
    <w:basedOn w:val="a0"/>
    <w:link w:val="1"/>
    <w:rsid w:val="00927061"/>
    <w:rPr>
      <w:rFonts w:ascii="Times New Roman" w:eastAsia="PMingLiU" w:hAnsi="Times New Roman" w:cs="Times New Roman"/>
      <w:smallCaps/>
      <w:kern w:val="28"/>
      <w:sz w:val="20"/>
      <w:szCs w:val="20"/>
      <w:lang w:val="en-US" w:eastAsia="en-US"/>
    </w:rPr>
  </w:style>
  <w:style w:type="character" w:customStyle="1" w:styleId="20">
    <w:name w:val="Заголовок 2 Знак"/>
    <w:basedOn w:val="a0"/>
    <w:link w:val="2"/>
    <w:rsid w:val="00927061"/>
    <w:rPr>
      <w:rFonts w:ascii="Times New Roman" w:eastAsia="PMingLiU" w:hAnsi="Times New Roman" w:cs="Times New Roman"/>
      <w:i/>
      <w:iCs/>
      <w:kern w:val="0"/>
      <w:sz w:val="20"/>
      <w:szCs w:val="20"/>
      <w:lang w:val="en-US" w:eastAsia="en-US"/>
    </w:rPr>
  </w:style>
  <w:style w:type="character" w:customStyle="1" w:styleId="30">
    <w:name w:val="Заголовок 3 Знак"/>
    <w:basedOn w:val="a0"/>
    <w:link w:val="3"/>
    <w:rsid w:val="00927061"/>
    <w:rPr>
      <w:rFonts w:ascii="Times New Roman" w:eastAsia="PMingLiU" w:hAnsi="Times New Roman" w:cs="Times New Roman"/>
      <w:i/>
      <w:iCs/>
      <w:kern w:val="0"/>
      <w:sz w:val="20"/>
      <w:szCs w:val="20"/>
      <w:lang w:val="en-US" w:eastAsia="en-US"/>
    </w:rPr>
  </w:style>
  <w:style w:type="character" w:customStyle="1" w:styleId="40">
    <w:name w:val="Заголовок 4 Знак"/>
    <w:basedOn w:val="a0"/>
    <w:link w:val="4"/>
    <w:rsid w:val="00927061"/>
    <w:rPr>
      <w:rFonts w:ascii="Times New Roman" w:eastAsia="PMingLiU" w:hAnsi="Times New Roman" w:cs="Times New Roman"/>
      <w:i/>
      <w:iCs/>
      <w:kern w:val="0"/>
      <w:sz w:val="20"/>
      <w:szCs w:val="18"/>
      <w:lang w:val="en-US" w:eastAsia="zh-TW"/>
    </w:rPr>
  </w:style>
  <w:style w:type="character" w:customStyle="1" w:styleId="50">
    <w:name w:val="Заголовок 5 Знак"/>
    <w:basedOn w:val="a0"/>
    <w:link w:val="5"/>
    <w:rsid w:val="00927061"/>
    <w:rPr>
      <w:rFonts w:ascii="Times New Roman" w:eastAsia="PMingLiU" w:hAnsi="Times New Roman" w:cs="Times New Roman"/>
      <w:kern w:val="0"/>
      <w:sz w:val="18"/>
      <w:szCs w:val="18"/>
      <w:lang w:val="en-US" w:eastAsia="en-US"/>
    </w:rPr>
  </w:style>
  <w:style w:type="character" w:customStyle="1" w:styleId="60">
    <w:name w:val="Заголовок 6 Знак"/>
    <w:basedOn w:val="a0"/>
    <w:link w:val="6"/>
    <w:rsid w:val="00927061"/>
    <w:rPr>
      <w:rFonts w:ascii="Times New Roman" w:eastAsia="PMingLiU" w:hAnsi="Times New Roman" w:cs="Times New Roman"/>
      <w:i/>
      <w:iCs/>
      <w:kern w:val="0"/>
      <w:sz w:val="16"/>
      <w:szCs w:val="16"/>
      <w:lang w:val="en-US" w:eastAsia="en-US"/>
    </w:rPr>
  </w:style>
  <w:style w:type="character" w:customStyle="1" w:styleId="70">
    <w:name w:val="Заголовок 7 Знак"/>
    <w:basedOn w:val="a0"/>
    <w:link w:val="7"/>
    <w:rsid w:val="00927061"/>
    <w:rPr>
      <w:rFonts w:ascii="Times New Roman" w:eastAsia="PMingLiU" w:hAnsi="Times New Roman" w:cs="Times New Roman"/>
      <w:kern w:val="0"/>
      <w:sz w:val="16"/>
      <w:szCs w:val="16"/>
      <w:lang w:val="en-US" w:eastAsia="en-US"/>
    </w:rPr>
  </w:style>
  <w:style w:type="character" w:customStyle="1" w:styleId="80">
    <w:name w:val="Заголовок 8 Знак"/>
    <w:basedOn w:val="a0"/>
    <w:link w:val="8"/>
    <w:rsid w:val="00927061"/>
    <w:rPr>
      <w:rFonts w:ascii="Times New Roman" w:eastAsia="PMingLiU" w:hAnsi="Times New Roman" w:cs="Times New Roman"/>
      <w:i/>
      <w:iCs/>
      <w:kern w:val="0"/>
      <w:sz w:val="16"/>
      <w:szCs w:val="16"/>
      <w:lang w:val="en-US" w:eastAsia="en-US"/>
    </w:rPr>
  </w:style>
  <w:style w:type="character" w:customStyle="1" w:styleId="90">
    <w:name w:val="Заголовок 9 Знак"/>
    <w:basedOn w:val="a0"/>
    <w:link w:val="9"/>
    <w:rsid w:val="00927061"/>
    <w:rPr>
      <w:rFonts w:ascii="Times New Roman" w:eastAsia="PMingLiU" w:hAnsi="Times New Roman" w:cs="Times New Roman"/>
      <w:kern w:val="0"/>
      <w:sz w:val="16"/>
      <w:szCs w:val="16"/>
      <w:lang w:val="en-US" w:eastAsia="en-US"/>
    </w:rPr>
  </w:style>
  <w:style w:type="paragraph" w:customStyle="1" w:styleId="FigureCaption">
    <w:name w:val="Figure Caption"/>
    <w:basedOn w:val="a"/>
    <w:link w:val="FigureCaptionChar"/>
    <w:rsid w:val="008229D5"/>
    <w:pPr>
      <w:autoSpaceDE w:val="0"/>
      <w:autoSpaceDN w:val="0"/>
      <w:spacing w:after="0" w:line="240" w:lineRule="auto"/>
      <w:jc w:val="both"/>
    </w:pPr>
    <w:rPr>
      <w:rFonts w:ascii="Times New Roman" w:eastAsia="PMingLiU" w:hAnsi="Times New Roman" w:cs="Times New Roman"/>
      <w:kern w:val="0"/>
      <w:sz w:val="16"/>
      <w:szCs w:val="16"/>
      <w:lang w:val="en-US" w:eastAsia="en-US"/>
    </w:rPr>
  </w:style>
  <w:style w:type="character" w:customStyle="1" w:styleId="FigureCaptionChar">
    <w:name w:val="Figure Caption Char"/>
    <w:link w:val="FigureCaption"/>
    <w:rsid w:val="008229D5"/>
    <w:rPr>
      <w:rFonts w:ascii="Times New Roman" w:eastAsia="PMingLiU" w:hAnsi="Times New Roman" w:cs="Times New Roman"/>
      <w:kern w:val="0"/>
      <w:sz w:val="16"/>
      <w:szCs w:val="16"/>
      <w:lang w:val="en-US" w:eastAsia="en-US"/>
    </w:rPr>
  </w:style>
  <w:style w:type="paragraph" w:customStyle="1" w:styleId="ENJIE-palavras-chave">
    <w:name w:val="ENJIE-palavras-chave"/>
    <w:basedOn w:val="a"/>
    <w:rsid w:val="004E252A"/>
    <w:pPr>
      <w:spacing w:after="360" w:line="240" w:lineRule="auto"/>
    </w:pPr>
    <w:rPr>
      <w:rFonts w:ascii="Century Gothic" w:eastAsia="Times New Roman" w:hAnsi="Century Gothic" w:cs="Times New Roman"/>
      <w:kern w:val="0"/>
      <w:sz w:val="18"/>
      <w:lang w:val="pt-PT" w:eastAsia="en-US"/>
    </w:rPr>
  </w:style>
  <w:style w:type="paragraph" w:customStyle="1" w:styleId="ENJIE-pargrafo">
    <w:name w:val="ENJIE-parágrafo"/>
    <w:basedOn w:val="a"/>
    <w:rsid w:val="00582ECB"/>
    <w:pPr>
      <w:spacing w:after="120" w:line="240" w:lineRule="auto"/>
      <w:jc w:val="both"/>
    </w:pPr>
    <w:rPr>
      <w:rFonts w:ascii="Century Gothic" w:eastAsia="Calibri" w:hAnsi="Century Gothic" w:cs="Times New Roman"/>
      <w:kern w:val="0"/>
      <w:sz w:val="20"/>
      <w:szCs w:val="24"/>
      <w:lang w:val="pt-PT" w:eastAsia="en-US"/>
    </w:rPr>
  </w:style>
  <w:style w:type="paragraph" w:customStyle="1" w:styleId="ENJIE-seccoes">
    <w:name w:val="ENJIE-seccoes"/>
    <w:basedOn w:val="a"/>
    <w:rsid w:val="009A0AF0"/>
    <w:pPr>
      <w:spacing w:before="240" w:after="120" w:line="240" w:lineRule="auto"/>
      <w:outlineLvl w:val="0"/>
    </w:pPr>
    <w:rPr>
      <w:rFonts w:ascii="Century Gothic" w:eastAsia="Calibri" w:hAnsi="Century Gothic" w:cs="Times New Roman"/>
      <w:b/>
      <w:kern w:val="0"/>
      <w:sz w:val="24"/>
      <w:szCs w:val="24"/>
      <w:lang w:val="pt-PT" w:eastAsia="en-US"/>
    </w:rPr>
  </w:style>
  <w:style w:type="paragraph" w:styleId="ac">
    <w:name w:val="No Spacing"/>
    <w:uiPriority w:val="1"/>
    <w:qFormat/>
    <w:rsid w:val="00905873"/>
    <w:pPr>
      <w:spacing w:after="0" w:line="240" w:lineRule="auto"/>
    </w:pPr>
    <w:rPr>
      <w:rFonts w:ascii="Calibri" w:eastAsia="Times New Roman" w:hAnsi="Calibri" w:cs="Times New Roman"/>
      <w:kern w:val="0"/>
      <w:sz w:val="21"/>
      <w:szCs w:val="21"/>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317-7921" TargetMode="External"/><Relationship Id="rId13" Type="http://schemas.openxmlformats.org/officeDocument/2006/relationships/chart" Target="charts/chart1.xml"/><Relationship Id="rId18" Type="http://schemas.openxmlformats.org/officeDocument/2006/relationships/hyperlink" Target="https://doi.org/10.1088/1742-6596/2611/1/012019" TargetMode="External"/><Relationship Id="rId26" Type="http://schemas.openxmlformats.org/officeDocument/2006/relationships/hyperlink" Target="https://doi.org/10.1109/SMC53654.2022.9945306" TargetMode="External"/><Relationship Id="rId39" Type="http://schemas.openxmlformats.org/officeDocument/2006/relationships/hyperlink" Target="https://doi.org/10.1109/FIE58773.2023.10343446" TargetMode="External"/><Relationship Id="rId3" Type="http://schemas.openxmlformats.org/officeDocument/2006/relationships/settings" Target="settings.xml"/><Relationship Id="rId21" Type="http://schemas.openxmlformats.org/officeDocument/2006/relationships/hyperlink" Target="https://doi.org/10.1109/IIAI-AAI50415.2020.00178" TargetMode="External"/><Relationship Id="rId34" Type="http://schemas.openxmlformats.org/officeDocument/2006/relationships/hyperlink" Target="https://doi.org/10.1016/j.iheduc.2019.100707" TargetMode="External"/><Relationship Id="rId42" Type="http://schemas.openxmlformats.org/officeDocument/2006/relationships/header" Target="header1.xml"/><Relationship Id="rId7" Type="http://schemas.openxmlformats.org/officeDocument/2006/relationships/hyperlink" Target="https://orcid.org/0009-0008-4030-7185" TargetMode="External"/><Relationship Id="rId12" Type="http://schemas.openxmlformats.org/officeDocument/2006/relationships/hyperlink" Target="mailto:dziumanka@gmail.com" TargetMode="External"/><Relationship Id="rId17" Type="http://schemas.openxmlformats.org/officeDocument/2006/relationships/hyperlink" Target="https://doi.org/10.1016/j.evalprogplan.2020.101790" TargetMode="External"/><Relationship Id="rId25" Type="http://schemas.openxmlformats.org/officeDocument/2006/relationships/hyperlink" Target="https://doi.org/10.1109/ICAIBDA53487.2021.9689699" TargetMode="External"/><Relationship Id="rId33" Type="http://schemas.openxmlformats.org/officeDocument/2006/relationships/hyperlink" Target="https://doi.org/10.1109/WEEF-GEDC59520.2023.10343665" TargetMode="External"/><Relationship Id="rId38" Type="http://schemas.openxmlformats.org/officeDocument/2006/relationships/hyperlink" Target="https://doi.org/10.1109/EDUCON45650.2020.9125165" TargetMode="External"/><Relationship Id="rId2" Type="http://schemas.openxmlformats.org/officeDocument/2006/relationships/styles" Target="styles.xml"/><Relationship Id="rId16" Type="http://schemas.openxmlformats.org/officeDocument/2006/relationships/hyperlink" Target="https://doi.org/10.1109/EDUNINE48860.2020.9149499" TargetMode="External"/><Relationship Id="rId20" Type="http://schemas.openxmlformats.org/officeDocument/2006/relationships/hyperlink" Target="https://doi.org/10.1109/MEES58014.2022.10005738" TargetMode="External"/><Relationship Id="rId29" Type="http://schemas.openxmlformats.org/officeDocument/2006/relationships/hyperlink" Target="https://doi.org/10.1109/TCYB.2019.2953307" TargetMode="External"/><Relationship Id="rId41" Type="http://schemas.openxmlformats.org/officeDocument/2006/relationships/hyperlink" Target="https://doi.org/10.1109/EDUCON.2019.87252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074-4648" TargetMode="External"/><Relationship Id="rId24" Type="http://schemas.openxmlformats.org/officeDocument/2006/relationships/hyperlink" Target="https://doi.org/10.1109/CALCON49167.2020.9106534" TargetMode="External"/><Relationship Id="rId32" Type="http://schemas.openxmlformats.org/officeDocument/2006/relationships/hyperlink" Target="https://doi.org/10.1109/FIE44824.2020.9274131" TargetMode="External"/><Relationship Id="rId37" Type="http://schemas.openxmlformats.org/officeDocument/2006/relationships/hyperlink" Target="https://doi.org/10.1109/ICISE51755.2020.00080" TargetMode="External"/><Relationship Id="rId40" Type="http://schemas.openxmlformats.org/officeDocument/2006/relationships/hyperlink" Target="https://doi.org/10.1016/j.ijcci.2021.100283"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x.doi.org/10.1016/j.compedu.2021.104239" TargetMode="External"/><Relationship Id="rId23" Type="http://schemas.openxmlformats.org/officeDocument/2006/relationships/hyperlink" Target="https://doi.org/10.1080/23752696.2020.1750306" TargetMode="External"/><Relationship Id="rId28" Type="http://schemas.openxmlformats.org/officeDocument/2006/relationships/hyperlink" Target="https://doi.org/10.1109/ACCESS.2019.2948847" TargetMode="External"/><Relationship Id="rId36" Type="http://schemas.openxmlformats.org/officeDocument/2006/relationships/hyperlink" Target="http://dx.doi.org/10.1016/j.ssaho.2023.100534" TargetMode="External"/><Relationship Id="rId10" Type="http://schemas.openxmlformats.org/officeDocument/2006/relationships/hyperlink" Target="https://orcid.org/0000-0002-7696-5613" TargetMode="External"/><Relationship Id="rId19" Type="http://schemas.openxmlformats.org/officeDocument/2006/relationships/hyperlink" Target="https://doi.org/10.1109/IHMSC49165.2020.10088" TargetMode="External"/><Relationship Id="rId31" Type="http://schemas.openxmlformats.org/officeDocument/2006/relationships/hyperlink" Target="https://doi.org/10.1109/ICESC51422.2021.9532969"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9890-1354" TargetMode="External"/><Relationship Id="rId14" Type="http://schemas.openxmlformats.org/officeDocument/2006/relationships/chart" Target="charts/chart2.xml"/><Relationship Id="rId22" Type="http://schemas.openxmlformats.org/officeDocument/2006/relationships/hyperlink" Target="https://doi.org/10.1109/MEES52427.2021.9598705" TargetMode="External"/><Relationship Id="rId27" Type="http://schemas.openxmlformats.org/officeDocument/2006/relationships/hyperlink" Target="https://doi.org/10.1109/ICAMechS.2013.6681816" TargetMode="External"/><Relationship Id="rId30" Type="http://schemas.openxmlformats.org/officeDocument/2006/relationships/hyperlink" Target="https://doi.org/10.1109/STC-CSIT.2016.7589898" TargetMode="External"/><Relationship Id="rId35" Type="http://schemas.openxmlformats.org/officeDocument/2006/relationships/hyperlink" Target="https://doi.org/10.1109/TE.2023.3273177" TargetMode="External"/><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2" b="1" i="0" u="none" strike="noStrike" kern="1200" baseline="0">
                <a:solidFill>
                  <a:schemeClr val="tx1"/>
                </a:solidFill>
                <a:latin typeface="+mn-lt"/>
                <a:ea typeface="+mn-ea"/>
                <a:cs typeface="+mn-cs"/>
              </a:defRPr>
            </a:pPr>
            <a:r>
              <a:rPr lang="en-US" sz="1802" b="1" i="0" u="none" strike="noStrike" baseline="0"/>
              <a:t>Scientific publication in English</a:t>
            </a:r>
            <a:endParaRPr lang="uk-UA"/>
          </a:p>
        </c:rich>
      </c:tx>
      <c:overlay val="0"/>
    </c:title>
    <c:autoTitleDeleted val="0"/>
    <c:plotArea>
      <c:layout/>
      <c:barChart>
        <c:barDir val="bar"/>
        <c:grouping val="clustered"/>
        <c:varyColors val="0"/>
        <c:ser>
          <c:idx val="0"/>
          <c:order val="0"/>
          <c:tx>
            <c:strRef>
              <c:f>Лист1!$B$1</c:f>
              <c:strCache>
                <c:ptCount val="1"/>
                <c:pt idx="0">
                  <c:v>Theses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Лист1!$B$2:$B$5</c:f>
              <c:numCache>
                <c:formatCode>General</c:formatCode>
                <c:ptCount val="4"/>
                <c:pt idx="0">
                  <c:v>7</c:v>
                </c:pt>
                <c:pt idx="1">
                  <c:v>7</c:v>
                </c:pt>
                <c:pt idx="2">
                  <c:v>6</c:v>
                </c:pt>
                <c:pt idx="3">
                  <c:v>6</c:v>
                </c:pt>
              </c:numCache>
            </c:numRef>
          </c:val>
          <c:extLst>
            <c:ext xmlns:c16="http://schemas.microsoft.com/office/drawing/2014/chart" uri="{C3380CC4-5D6E-409C-BE32-E72D297353CC}">
              <c16:uniqueId val="{00000000-4DED-4DC9-ACB5-0DD4C93A2CCF}"/>
            </c:ext>
          </c:extLst>
        </c:ser>
        <c:ser>
          <c:idx val="1"/>
          <c:order val="1"/>
          <c:tx>
            <c:strRef>
              <c:f>Лист1!$C$1</c:f>
              <c:strCache>
                <c:ptCount val="1"/>
                <c:pt idx="0">
                  <c:v>Abstracts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Лист1!$C$2:$C$5</c:f>
              <c:numCache>
                <c:formatCode>General</c:formatCode>
                <c:ptCount val="4"/>
                <c:pt idx="0">
                  <c:v>7</c:v>
                </c:pt>
                <c:pt idx="1">
                  <c:v>7</c:v>
                </c:pt>
                <c:pt idx="2">
                  <c:v>6</c:v>
                </c:pt>
                <c:pt idx="3">
                  <c:v>7</c:v>
                </c:pt>
              </c:numCache>
            </c:numRef>
          </c:val>
          <c:extLst>
            <c:ext xmlns:c16="http://schemas.microsoft.com/office/drawing/2014/chart" uri="{C3380CC4-5D6E-409C-BE32-E72D297353CC}">
              <c16:uniqueId val="{00000001-4DED-4DC9-ACB5-0DD4C93A2CCF}"/>
            </c:ext>
          </c:extLst>
        </c:ser>
        <c:ser>
          <c:idx val="2"/>
          <c:order val="2"/>
          <c:tx>
            <c:strRef>
              <c:f>Лист1!$D$1</c:f>
              <c:strCache>
                <c:ptCount val="1"/>
                <c:pt idx="0">
                  <c:v>Summaries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Лист1!$D$2:$D$5</c:f>
              <c:numCache>
                <c:formatCode>General</c:formatCode>
                <c:ptCount val="4"/>
                <c:pt idx="0">
                  <c:v>6</c:v>
                </c:pt>
                <c:pt idx="1">
                  <c:v>7</c:v>
                </c:pt>
                <c:pt idx="2">
                  <c:v>7</c:v>
                </c:pt>
                <c:pt idx="3">
                  <c:v>6</c:v>
                </c:pt>
              </c:numCache>
            </c:numRef>
          </c:val>
          <c:extLst>
            <c:ext xmlns:c16="http://schemas.microsoft.com/office/drawing/2014/chart" uri="{C3380CC4-5D6E-409C-BE32-E72D297353CC}">
              <c16:uniqueId val="{00000002-4DED-4DC9-ACB5-0DD4C93A2CCF}"/>
            </c:ext>
          </c:extLst>
        </c:ser>
        <c:ser>
          <c:idx val="3"/>
          <c:order val="3"/>
          <c:tx>
            <c:strRef>
              <c:f>Лист1!$E$1</c:f>
              <c:strCache>
                <c:ptCount val="1"/>
                <c:pt idx="0">
                  <c:v>Reviews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Лист1!$E$2:$E$5</c:f>
              <c:numCache>
                <c:formatCode>General</c:formatCode>
                <c:ptCount val="4"/>
                <c:pt idx="0">
                  <c:v>8</c:v>
                </c:pt>
                <c:pt idx="1">
                  <c:v>6</c:v>
                </c:pt>
                <c:pt idx="2">
                  <c:v>7</c:v>
                </c:pt>
                <c:pt idx="3">
                  <c:v>7</c:v>
                </c:pt>
              </c:numCache>
            </c:numRef>
          </c:val>
          <c:extLst>
            <c:ext xmlns:c16="http://schemas.microsoft.com/office/drawing/2014/chart" uri="{C3380CC4-5D6E-409C-BE32-E72D297353CC}">
              <c16:uniqueId val="{00000003-4DED-4DC9-ACB5-0DD4C93A2CCF}"/>
            </c:ext>
          </c:extLst>
        </c:ser>
        <c:dLbls>
          <c:showLegendKey val="0"/>
          <c:showVal val="0"/>
          <c:showCatName val="0"/>
          <c:showSerName val="0"/>
          <c:showPercent val="0"/>
          <c:showBubbleSize val="0"/>
        </c:dLbls>
        <c:gapWidth val="150"/>
        <c:axId val="88202624"/>
        <c:axId val="98600832"/>
      </c:barChart>
      <c:catAx>
        <c:axId val="88202624"/>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1" b="0" i="0" u="none" strike="noStrike" kern="1200" baseline="0">
                <a:solidFill>
                  <a:schemeClr val="tx1"/>
                </a:solidFill>
                <a:latin typeface="+mn-lt"/>
                <a:ea typeface="+mn-ea"/>
                <a:cs typeface="+mn-cs"/>
              </a:defRPr>
            </a:pPr>
            <a:endParaRPr lang="uk-UA"/>
          </a:p>
        </c:txPr>
        <c:crossAx val="98600832"/>
        <c:crosses val="autoZero"/>
        <c:auto val="1"/>
        <c:lblAlgn val="ctr"/>
        <c:lblOffset val="100"/>
        <c:noMultiLvlLbl val="0"/>
      </c:catAx>
      <c:valAx>
        <c:axId val="98600832"/>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1" b="0" i="0" u="none" strike="noStrike" kern="1200" baseline="0">
                <a:solidFill>
                  <a:schemeClr val="tx1"/>
                </a:solidFill>
                <a:latin typeface="+mn-lt"/>
                <a:ea typeface="+mn-ea"/>
                <a:cs typeface="+mn-cs"/>
              </a:defRPr>
            </a:pPr>
            <a:endParaRPr lang="uk-UA"/>
          </a:p>
        </c:txPr>
        <c:crossAx val="88202624"/>
        <c:crosses val="autoZero"/>
        <c:crossBetween val="between"/>
      </c:valAx>
    </c:plotArea>
    <c:legend>
      <c:legendPos val="r"/>
      <c:overlay val="0"/>
      <c:txPr>
        <a:bodyPr rot="0" spcFirstLastPara="0" vertOverflow="ellipsis" vert="horz" wrap="square" anchor="ctr" anchorCtr="1"/>
        <a:lstStyle/>
        <a:p>
          <a:pPr>
            <a:defRPr lang="en-US" sz="1001" b="0" i="0" u="none" strike="noStrike" kern="1200" baseline="0">
              <a:solidFill>
                <a:schemeClr val="tx1"/>
              </a:solidFill>
              <a:latin typeface="+mn-lt"/>
              <a:ea typeface="+mn-ea"/>
              <a:cs typeface="+mn-cs"/>
            </a:defRPr>
          </a:pPr>
          <a:endParaRPr lang="uk-UA"/>
        </a:p>
      </c:txPr>
    </c:legend>
    <c:plotVisOnly val="1"/>
    <c:dispBlanksAs val="gap"/>
    <c:showDLblsOverMax val="0"/>
  </c:chart>
  <c:txPr>
    <a:bodyPr/>
    <a:lstStyle/>
    <a:p>
      <a:pPr>
        <a:defRPr lang="en-US"/>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2" b="1" i="0" u="none" strike="noStrike" kern="1200" baseline="0">
                <a:solidFill>
                  <a:schemeClr val="tx1"/>
                </a:solidFill>
                <a:latin typeface="+mn-lt"/>
                <a:ea typeface="+mn-ea"/>
                <a:cs typeface="+mn-cs"/>
              </a:defRPr>
            </a:pPr>
            <a:r>
              <a:rPr lang="en-US"/>
              <a:t>Scientific</a:t>
            </a:r>
            <a:r>
              <a:rPr lang="en-US" baseline="0"/>
              <a:t> publication ib Ukrainian</a:t>
            </a:r>
            <a:endParaRPr lang="uk-UA"/>
          </a:p>
        </c:rich>
      </c:tx>
      <c:overlay val="0"/>
    </c:title>
    <c:autoTitleDeleted val="0"/>
    <c:plotArea>
      <c:layout/>
      <c:barChart>
        <c:barDir val="bar"/>
        <c:grouping val="clustered"/>
        <c:varyColors val="0"/>
        <c:ser>
          <c:idx val="0"/>
          <c:order val="0"/>
          <c:tx>
            <c:strRef>
              <c:f>Лист1!$B$1</c:f>
              <c:strCache>
                <c:ptCount val="1"/>
                <c:pt idx="0">
                  <c:v>Theses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Лист1!$B$2:$B$5</c:f>
              <c:numCache>
                <c:formatCode>General</c:formatCode>
                <c:ptCount val="4"/>
                <c:pt idx="0">
                  <c:v>6</c:v>
                </c:pt>
                <c:pt idx="1">
                  <c:v>7</c:v>
                </c:pt>
                <c:pt idx="2">
                  <c:v>8</c:v>
                </c:pt>
                <c:pt idx="3">
                  <c:v>7</c:v>
                </c:pt>
              </c:numCache>
            </c:numRef>
          </c:val>
          <c:extLst>
            <c:ext xmlns:c16="http://schemas.microsoft.com/office/drawing/2014/chart" uri="{C3380CC4-5D6E-409C-BE32-E72D297353CC}">
              <c16:uniqueId val="{00000000-1CC5-442B-8785-43FC209AA34C}"/>
            </c:ext>
          </c:extLst>
        </c:ser>
        <c:ser>
          <c:idx val="1"/>
          <c:order val="1"/>
          <c:tx>
            <c:strRef>
              <c:f>Лист1!$C$1</c:f>
              <c:strCache>
                <c:ptCount val="1"/>
                <c:pt idx="0">
                  <c:v>Abstracts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Лист1!$C$2:$C$5</c:f>
              <c:numCache>
                <c:formatCode>General</c:formatCode>
                <c:ptCount val="4"/>
                <c:pt idx="0">
                  <c:v>8</c:v>
                </c:pt>
                <c:pt idx="1">
                  <c:v>7</c:v>
                </c:pt>
                <c:pt idx="2">
                  <c:v>6</c:v>
                </c:pt>
                <c:pt idx="3">
                  <c:v>7</c:v>
                </c:pt>
              </c:numCache>
            </c:numRef>
          </c:val>
          <c:extLst>
            <c:ext xmlns:c16="http://schemas.microsoft.com/office/drawing/2014/chart" uri="{C3380CC4-5D6E-409C-BE32-E72D297353CC}">
              <c16:uniqueId val="{00000001-1CC5-442B-8785-43FC209AA34C}"/>
            </c:ext>
          </c:extLst>
        </c:ser>
        <c:ser>
          <c:idx val="2"/>
          <c:order val="2"/>
          <c:tx>
            <c:strRef>
              <c:f>Лист1!$D$1</c:f>
              <c:strCache>
                <c:ptCount val="1"/>
                <c:pt idx="0">
                  <c:v>Summaries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Лист1!$D$2:$D$5</c:f>
              <c:numCache>
                <c:formatCode>General</c:formatCode>
                <c:ptCount val="4"/>
                <c:pt idx="0">
                  <c:v>7</c:v>
                </c:pt>
                <c:pt idx="1">
                  <c:v>8</c:v>
                </c:pt>
                <c:pt idx="2">
                  <c:v>8</c:v>
                </c:pt>
                <c:pt idx="3">
                  <c:v>6</c:v>
                </c:pt>
              </c:numCache>
            </c:numRef>
          </c:val>
          <c:extLst>
            <c:ext xmlns:c16="http://schemas.microsoft.com/office/drawing/2014/chart" uri="{C3380CC4-5D6E-409C-BE32-E72D297353CC}">
              <c16:uniqueId val="{00000002-1CC5-442B-8785-43FC209AA34C}"/>
            </c:ext>
          </c:extLst>
        </c:ser>
        <c:ser>
          <c:idx val="3"/>
          <c:order val="3"/>
          <c:tx>
            <c:strRef>
              <c:f>Лист1!$E$1</c:f>
              <c:strCache>
                <c:ptCount val="1"/>
                <c:pt idx="0">
                  <c:v>Reviews</c:v>
                </c:pt>
              </c:strCache>
            </c:strRef>
          </c:tx>
          <c:invertIfNegative val="0"/>
          <c:cat>
            <c:strRef>
              <c:f>Лист1!$A$2:$A$5</c:f>
              <c:strCache>
                <c:ptCount val="4"/>
                <c:pt idx="0">
                  <c:v>Engineering sciences</c:v>
                </c:pt>
                <c:pt idx="1">
                  <c:v>Natural sciences</c:v>
                </c:pt>
                <c:pt idx="2">
                  <c:v>Social sciences</c:v>
                </c:pt>
                <c:pt idx="3">
                  <c:v>Humanities</c:v>
                </c:pt>
              </c:strCache>
            </c:strRef>
          </c:cat>
          <c:val>
            <c:numRef>
              <c:f>Лист1!$E$2:$E$5</c:f>
              <c:numCache>
                <c:formatCode>General</c:formatCode>
                <c:ptCount val="4"/>
                <c:pt idx="0">
                  <c:v>7</c:v>
                </c:pt>
                <c:pt idx="1">
                  <c:v>8</c:v>
                </c:pt>
                <c:pt idx="2">
                  <c:v>6</c:v>
                </c:pt>
                <c:pt idx="3">
                  <c:v>8</c:v>
                </c:pt>
              </c:numCache>
            </c:numRef>
          </c:val>
          <c:extLst>
            <c:ext xmlns:c16="http://schemas.microsoft.com/office/drawing/2014/chart" uri="{C3380CC4-5D6E-409C-BE32-E72D297353CC}">
              <c16:uniqueId val="{00000003-1CC5-442B-8785-43FC209AA34C}"/>
            </c:ext>
          </c:extLst>
        </c:ser>
        <c:dLbls>
          <c:showLegendKey val="0"/>
          <c:showVal val="0"/>
          <c:showCatName val="0"/>
          <c:showSerName val="0"/>
          <c:showPercent val="0"/>
          <c:showBubbleSize val="0"/>
        </c:dLbls>
        <c:gapWidth val="150"/>
        <c:axId val="104214528"/>
        <c:axId val="105794176"/>
      </c:barChart>
      <c:catAx>
        <c:axId val="104214528"/>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1" b="0" i="0" u="none" strike="noStrike" kern="1200" baseline="0">
                <a:solidFill>
                  <a:schemeClr val="tx1"/>
                </a:solidFill>
                <a:latin typeface="+mn-lt"/>
                <a:ea typeface="+mn-ea"/>
                <a:cs typeface="+mn-cs"/>
              </a:defRPr>
            </a:pPr>
            <a:endParaRPr lang="uk-UA"/>
          </a:p>
        </c:txPr>
        <c:crossAx val="105794176"/>
        <c:crosses val="autoZero"/>
        <c:auto val="1"/>
        <c:lblAlgn val="ctr"/>
        <c:lblOffset val="100"/>
        <c:noMultiLvlLbl val="0"/>
      </c:catAx>
      <c:valAx>
        <c:axId val="105794176"/>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1" b="0" i="0" u="none" strike="noStrike" kern="1200" baseline="0">
                <a:solidFill>
                  <a:schemeClr val="tx1"/>
                </a:solidFill>
                <a:latin typeface="+mn-lt"/>
                <a:ea typeface="+mn-ea"/>
                <a:cs typeface="+mn-cs"/>
              </a:defRPr>
            </a:pPr>
            <a:endParaRPr lang="uk-UA"/>
          </a:p>
        </c:txPr>
        <c:crossAx val="104214528"/>
        <c:crosses val="autoZero"/>
        <c:crossBetween val="between"/>
      </c:valAx>
    </c:plotArea>
    <c:legend>
      <c:legendPos val="r"/>
      <c:layout>
        <c:manualLayout>
          <c:xMode val="edge"/>
          <c:yMode val="edge"/>
          <c:x val="0.82555089461002362"/>
          <c:y val="0.4354046897983907"/>
          <c:w val="0.15912930454738738"/>
          <c:h val="0.31820160941420789"/>
        </c:manualLayout>
      </c:layout>
      <c:overlay val="0"/>
      <c:txPr>
        <a:bodyPr rot="0" spcFirstLastPara="0" vertOverflow="ellipsis" vert="horz" wrap="square" anchor="ctr" anchorCtr="1"/>
        <a:lstStyle/>
        <a:p>
          <a:pPr>
            <a:defRPr lang="en-US" sz="1001" b="0" i="0" u="none" strike="noStrike" kern="1200" baseline="0">
              <a:solidFill>
                <a:schemeClr val="tx1"/>
              </a:solidFill>
              <a:latin typeface="+mn-lt"/>
              <a:ea typeface="+mn-ea"/>
              <a:cs typeface="+mn-cs"/>
            </a:defRPr>
          </a:pPr>
          <a:endParaRPr lang="uk-UA"/>
        </a:p>
      </c:txPr>
    </c:legend>
    <c:plotVisOnly val="1"/>
    <c:dispBlanksAs val="gap"/>
    <c:showDLblsOverMax val="0"/>
  </c:chart>
  <c:txPr>
    <a:bodyPr/>
    <a:lstStyle/>
    <a:p>
      <a:pPr>
        <a:defRPr lang="en-US"/>
      </a:pPr>
      <a:endParaRPr lang="uk-UA"/>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10</Pages>
  <Words>22914</Words>
  <Characters>13061</Characters>
  <Application>Microsoft Office Word</Application>
  <DocSecurity>0</DocSecurity>
  <Lines>108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user</cp:lastModifiedBy>
  <cp:revision>2</cp:revision>
  <dcterms:created xsi:type="dcterms:W3CDTF">2025-11-27T08:43:00Z</dcterms:created>
  <dcterms:modified xsi:type="dcterms:W3CDTF">2025-11-27T08:43:00Z</dcterms:modified>
</cp:coreProperties>
</file>