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FD2BB" w14:textId="77777777" w:rsidR="00E20A55" w:rsidRPr="003E3F69" w:rsidRDefault="00E20A55" w:rsidP="00E20A55">
      <w:pPr>
        <w:spacing w:after="0" w:line="360" w:lineRule="auto"/>
        <w:jc w:val="center"/>
        <w:rPr>
          <w:rFonts w:ascii="Times New Roman" w:hAnsi="Times New Roman" w:cs="Times New Roman"/>
          <w:b/>
          <w:sz w:val="28"/>
          <w:szCs w:val="28"/>
        </w:rPr>
      </w:pPr>
      <w:proofErr w:type="spellStart"/>
      <w:r w:rsidRPr="003E3F69">
        <w:rPr>
          <w:rFonts w:ascii="Times New Roman" w:hAnsi="Times New Roman" w:cs="Times New Roman"/>
          <w:b/>
          <w:spacing w:val="-4"/>
          <w:sz w:val="28"/>
          <w:szCs w:val="28"/>
        </w:rPr>
        <w:t>Корбутяк</w:t>
      </w:r>
      <w:proofErr w:type="spellEnd"/>
      <w:r w:rsidRPr="003E3F69">
        <w:rPr>
          <w:rFonts w:ascii="Times New Roman" w:hAnsi="Times New Roman" w:cs="Times New Roman"/>
          <w:b/>
          <w:spacing w:val="-4"/>
          <w:sz w:val="28"/>
          <w:szCs w:val="28"/>
        </w:rPr>
        <w:t xml:space="preserve"> Аліна Георгіївна</w:t>
      </w:r>
    </w:p>
    <w:p w14:paraId="00442761" w14:textId="77777777" w:rsidR="00E20A55" w:rsidRPr="003E3F69" w:rsidRDefault="00E20A55" w:rsidP="00E20A55">
      <w:pPr>
        <w:pStyle w:val="ac"/>
        <w:spacing w:line="360" w:lineRule="auto"/>
        <w:ind w:left="0"/>
        <w:jc w:val="center"/>
        <w:rPr>
          <w:spacing w:val="-2"/>
        </w:rPr>
      </w:pPr>
      <w:r w:rsidRPr="003E3F69">
        <w:t>кандидат</w:t>
      </w:r>
      <w:r w:rsidRPr="003E3F69">
        <w:rPr>
          <w:spacing w:val="1"/>
        </w:rPr>
        <w:t xml:space="preserve"> </w:t>
      </w:r>
      <w:r w:rsidRPr="003E3F69">
        <w:t>економічних</w:t>
      </w:r>
      <w:r w:rsidRPr="003E3F69">
        <w:rPr>
          <w:spacing w:val="-1"/>
        </w:rPr>
        <w:t xml:space="preserve"> </w:t>
      </w:r>
      <w:r w:rsidRPr="003E3F69">
        <w:t>наук,</w:t>
      </w:r>
      <w:r w:rsidRPr="003E3F69">
        <w:rPr>
          <w:spacing w:val="3"/>
        </w:rPr>
        <w:t xml:space="preserve"> </w:t>
      </w:r>
      <w:r w:rsidRPr="003E3F69">
        <w:rPr>
          <w:spacing w:val="-2"/>
        </w:rPr>
        <w:t xml:space="preserve">доцент, </w:t>
      </w:r>
    </w:p>
    <w:p w14:paraId="51A766BD" w14:textId="77777777" w:rsidR="00E20A55" w:rsidRPr="003E3F69" w:rsidRDefault="00E20A55" w:rsidP="00E20A55">
      <w:pPr>
        <w:pStyle w:val="ac"/>
        <w:spacing w:line="360" w:lineRule="auto"/>
        <w:ind w:left="0"/>
        <w:jc w:val="center"/>
      </w:pPr>
      <w:r w:rsidRPr="003E3F69">
        <w:t>Чернівецький національний університет імені Юрія Федьковича</w:t>
      </w:r>
    </w:p>
    <w:p w14:paraId="1E1D4AD6" w14:textId="77777777" w:rsidR="00E20A55" w:rsidRPr="003E3F69" w:rsidRDefault="00E20A55" w:rsidP="00E20A55">
      <w:pPr>
        <w:spacing w:after="0" w:line="360" w:lineRule="auto"/>
        <w:jc w:val="center"/>
        <w:rPr>
          <w:rFonts w:ascii="Times New Roman" w:hAnsi="Times New Roman" w:cs="Times New Roman"/>
          <w:b/>
          <w:spacing w:val="-4"/>
          <w:sz w:val="28"/>
          <w:szCs w:val="28"/>
        </w:rPr>
      </w:pPr>
      <w:r w:rsidRPr="003E3F69">
        <w:rPr>
          <w:rFonts w:ascii="Times New Roman" w:hAnsi="Times New Roman" w:cs="Times New Roman"/>
          <w:sz w:val="28"/>
          <w:szCs w:val="28"/>
        </w:rPr>
        <w:t>ORCID: https://orcid.org/ 0000-0002-9330-7145</w:t>
      </w:r>
      <w:r w:rsidRPr="003E3F69">
        <w:rPr>
          <w:rFonts w:ascii="Times New Roman" w:hAnsi="Times New Roman" w:cs="Times New Roman"/>
          <w:b/>
          <w:spacing w:val="-4"/>
          <w:sz w:val="28"/>
          <w:szCs w:val="28"/>
        </w:rPr>
        <w:t xml:space="preserve"> </w:t>
      </w:r>
    </w:p>
    <w:p w14:paraId="64CCC45D" w14:textId="20DE92FF" w:rsidR="00E20A55" w:rsidRDefault="00107941" w:rsidP="00E20A55">
      <w:pPr>
        <w:spacing w:after="0" w:line="360" w:lineRule="auto"/>
        <w:jc w:val="center"/>
        <w:rPr>
          <w:rFonts w:ascii="Times New Roman" w:hAnsi="Times New Roman" w:cs="Times New Roman"/>
          <w:b/>
          <w:spacing w:val="-4"/>
          <w:sz w:val="28"/>
          <w:szCs w:val="28"/>
        </w:rPr>
      </w:pPr>
      <w:proofErr w:type="spellStart"/>
      <w:r w:rsidRPr="00107941">
        <w:rPr>
          <w:rFonts w:ascii="Times New Roman" w:hAnsi="Times New Roman" w:cs="Times New Roman"/>
          <w:b/>
          <w:spacing w:val="-4"/>
          <w:sz w:val="28"/>
          <w:szCs w:val="28"/>
        </w:rPr>
        <w:t>Alina</w:t>
      </w:r>
      <w:proofErr w:type="spellEnd"/>
      <w:r w:rsidRPr="00107941">
        <w:rPr>
          <w:rFonts w:ascii="Times New Roman" w:hAnsi="Times New Roman" w:cs="Times New Roman"/>
          <w:b/>
          <w:spacing w:val="-4"/>
          <w:sz w:val="28"/>
          <w:szCs w:val="28"/>
        </w:rPr>
        <w:t xml:space="preserve"> </w:t>
      </w:r>
      <w:proofErr w:type="spellStart"/>
      <w:r w:rsidRPr="00107941">
        <w:rPr>
          <w:rFonts w:ascii="Times New Roman" w:hAnsi="Times New Roman" w:cs="Times New Roman"/>
          <w:b/>
          <w:spacing w:val="-4"/>
          <w:sz w:val="28"/>
          <w:szCs w:val="28"/>
        </w:rPr>
        <w:t>Korbutiak</w:t>
      </w:r>
      <w:proofErr w:type="spellEnd"/>
    </w:p>
    <w:p w14:paraId="15B9F4B7" w14:textId="6889B286" w:rsidR="00107941" w:rsidRPr="00107941" w:rsidRDefault="00107941" w:rsidP="00E20A55">
      <w:pPr>
        <w:spacing w:after="0" w:line="360" w:lineRule="auto"/>
        <w:jc w:val="center"/>
        <w:rPr>
          <w:rFonts w:ascii="Times New Roman" w:hAnsi="Times New Roman" w:cs="Times New Roman"/>
          <w:b/>
          <w:spacing w:val="-4"/>
          <w:sz w:val="28"/>
          <w:szCs w:val="28"/>
          <w:lang w:val="en-US"/>
        </w:rPr>
      </w:pPr>
      <w:r>
        <w:rPr>
          <w:rFonts w:ascii="Times New Roman" w:hAnsi="Times New Roman" w:cs="Times New Roman"/>
          <w:b/>
          <w:spacing w:val="-4"/>
          <w:sz w:val="28"/>
          <w:szCs w:val="28"/>
          <w:lang w:val="en-US"/>
        </w:rPr>
        <w:t>PhD,</w:t>
      </w:r>
      <w:r w:rsidRPr="00107941">
        <w:t xml:space="preserve"> </w:t>
      </w:r>
      <w:bookmarkStart w:id="0" w:name="_Hlk214470610"/>
      <w:proofErr w:type="spellStart"/>
      <w:r w:rsidRPr="00107941">
        <w:rPr>
          <w:rFonts w:ascii="Times New Roman" w:hAnsi="Times New Roman" w:cs="Times New Roman"/>
          <w:b/>
          <w:spacing w:val="-4"/>
          <w:sz w:val="28"/>
          <w:szCs w:val="28"/>
          <w:lang w:val="en-US"/>
        </w:rPr>
        <w:t>Yuriy</w:t>
      </w:r>
      <w:proofErr w:type="spellEnd"/>
      <w:r w:rsidRPr="00107941">
        <w:rPr>
          <w:rFonts w:ascii="Times New Roman" w:hAnsi="Times New Roman" w:cs="Times New Roman"/>
          <w:b/>
          <w:spacing w:val="-4"/>
          <w:sz w:val="28"/>
          <w:szCs w:val="28"/>
          <w:lang w:val="en-US"/>
        </w:rPr>
        <w:t xml:space="preserve"> </w:t>
      </w:r>
      <w:proofErr w:type="spellStart"/>
      <w:r w:rsidRPr="00107941">
        <w:rPr>
          <w:rFonts w:ascii="Times New Roman" w:hAnsi="Times New Roman" w:cs="Times New Roman"/>
          <w:b/>
          <w:spacing w:val="-4"/>
          <w:sz w:val="28"/>
          <w:szCs w:val="28"/>
          <w:lang w:val="en-US"/>
        </w:rPr>
        <w:t>Fedkovych</w:t>
      </w:r>
      <w:proofErr w:type="spellEnd"/>
      <w:r w:rsidRPr="00107941">
        <w:rPr>
          <w:rFonts w:ascii="Times New Roman" w:hAnsi="Times New Roman" w:cs="Times New Roman"/>
          <w:b/>
          <w:spacing w:val="-4"/>
          <w:sz w:val="28"/>
          <w:szCs w:val="28"/>
          <w:lang w:val="en-US"/>
        </w:rPr>
        <w:t xml:space="preserve"> Chernivtsi National University</w:t>
      </w:r>
      <w:r>
        <w:rPr>
          <w:rFonts w:ascii="Times New Roman" w:hAnsi="Times New Roman" w:cs="Times New Roman"/>
          <w:b/>
          <w:spacing w:val="-4"/>
          <w:sz w:val="28"/>
          <w:szCs w:val="28"/>
          <w:lang w:val="en-US"/>
        </w:rPr>
        <w:t xml:space="preserve"> </w:t>
      </w:r>
      <w:bookmarkEnd w:id="0"/>
    </w:p>
    <w:p w14:paraId="5C31106F" w14:textId="77777777" w:rsidR="00107941" w:rsidRDefault="00107941" w:rsidP="00E20A55">
      <w:pPr>
        <w:spacing w:after="0" w:line="360" w:lineRule="auto"/>
        <w:jc w:val="center"/>
        <w:rPr>
          <w:rFonts w:ascii="Times New Roman" w:hAnsi="Times New Roman" w:cs="Times New Roman"/>
          <w:b/>
          <w:spacing w:val="-4"/>
          <w:sz w:val="28"/>
          <w:szCs w:val="28"/>
        </w:rPr>
      </w:pPr>
    </w:p>
    <w:p w14:paraId="1E960EB6" w14:textId="4370DF3D" w:rsidR="00E20A55" w:rsidRPr="003E3F69" w:rsidRDefault="00093ED0" w:rsidP="00E20A55">
      <w:pPr>
        <w:spacing w:after="0" w:line="360" w:lineRule="auto"/>
        <w:jc w:val="center"/>
        <w:rPr>
          <w:rFonts w:ascii="Times New Roman" w:hAnsi="Times New Roman" w:cs="Times New Roman"/>
          <w:b/>
          <w:sz w:val="28"/>
          <w:szCs w:val="28"/>
        </w:rPr>
      </w:pPr>
      <w:r w:rsidRPr="003E3F69">
        <w:rPr>
          <w:rFonts w:ascii="Times New Roman" w:hAnsi="Times New Roman" w:cs="Times New Roman"/>
          <w:b/>
          <w:spacing w:val="-4"/>
          <w:sz w:val="28"/>
          <w:szCs w:val="28"/>
        </w:rPr>
        <w:t>Терещук Тетяна Миколаївна</w:t>
      </w:r>
    </w:p>
    <w:p w14:paraId="7DBF174F" w14:textId="77777777" w:rsidR="00E20A55" w:rsidRPr="003E3F69" w:rsidRDefault="00E20A55" w:rsidP="00E20A55">
      <w:pPr>
        <w:pStyle w:val="ac"/>
        <w:spacing w:line="360" w:lineRule="auto"/>
        <w:ind w:left="0"/>
        <w:jc w:val="center"/>
        <w:rPr>
          <w:spacing w:val="-2"/>
        </w:rPr>
      </w:pPr>
      <w:r w:rsidRPr="003E3F69">
        <w:t>магістр, Чернівецький національний університет імені Юрія Федьковича</w:t>
      </w:r>
      <w:r w:rsidRPr="003E3F69">
        <w:rPr>
          <w:spacing w:val="-2"/>
        </w:rPr>
        <w:t xml:space="preserve"> </w:t>
      </w:r>
    </w:p>
    <w:p w14:paraId="61B48B59" w14:textId="5DEC6B48" w:rsidR="00107941" w:rsidRDefault="00107941" w:rsidP="00E20A55">
      <w:pPr>
        <w:widowControl w:val="0"/>
        <w:spacing w:after="0" w:line="360" w:lineRule="auto"/>
        <w:ind w:firstLine="708"/>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Tereschuk</w:t>
      </w:r>
      <w:proofErr w:type="spellEnd"/>
      <w:r>
        <w:rPr>
          <w:rFonts w:ascii="Times New Roman" w:hAnsi="Times New Roman" w:cs="Times New Roman"/>
          <w:b/>
          <w:bCs/>
          <w:sz w:val="28"/>
          <w:szCs w:val="28"/>
          <w:lang w:val="en-US"/>
        </w:rPr>
        <w:t xml:space="preserve"> </w:t>
      </w:r>
      <w:proofErr w:type="spellStart"/>
      <w:r>
        <w:rPr>
          <w:rFonts w:ascii="Times New Roman" w:hAnsi="Times New Roman" w:cs="Times New Roman"/>
          <w:b/>
          <w:bCs/>
          <w:sz w:val="28"/>
          <w:szCs w:val="28"/>
          <w:lang w:val="en-US"/>
        </w:rPr>
        <w:t>Tetiana</w:t>
      </w:r>
      <w:proofErr w:type="spellEnd"/>
    </w:p>
    <w:p w14:paraId="41F130D3" w14:textId="61505407" w:rsidR="00E20A55" w:rsidRPr="00107941" w:rsidRDefault="00107941" w:rsidP="00E20A55">
      <w:pPr>
        <w:widowControl w:val="0"/>
        <w:spacing w:after="0" w:line="360" w:lineRule="auto"/>
        <w:ind w:firstLine="708"/>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w:t>
      </w:r>
      <w:proofErr w:type="spellStart"/>
      <w:r w:rsidRPr="00107941">
        <w:rPr>
          <w:rFonts w:ascii="Times New Roman" w:hAnsi="Times New Roman" w:cs="Times New Roman"/>
          <w:b/>
          <w:bCs/>
          <w:sz w:val="28"/>
          <w:szCs w:val="28"/>
        </w:rPr>
        <w:t>aster</w:t>
      </w:r>
      <w:proofErr w:type="spellEnd"/>
      <w:r w:rsidRPr="00107941">
        <w:rPr>
          <w:rFonts w:ascii="Times New Roman" w:hAnsi="Times New Roman" w:cs="Times New Roman"/>
          <w:b/>
          <w:bCs/>
          <w:sz w:val="28"/>
          <w:szCs w:val="28"/>
        </w:rPr>
        <w:t xml:space="preserve"> </w:t>
      </w:r>
      <w:proofErr w:type="spellStart"/>
      <w:r w:rsidRPr="00107941">
        <w:rPr>
          <w:rFonts w:ascii="Times New Roman" w:hAnsi="Times New Roman" w:cs="Times New Roman"/>
          <w:b/>
          <w:bCs/>
          <w:sz w:val="28"/>
          <w:szCs w:val="28"/>
        </w:rPr>
        <w:t>of</w:t>
      </w:r>
      <w:proofErr w:type="spellEnd"/>
      <w:r w:rsidRPr="00107941">
        <w:rPr>
          <w:rFonts w:ascii="Times New Roman" w:hAnsi="Times New Roman" w:cs="Times New Roman"/>
          <w:b/>
          <w:bCs/>
          <w:sz w:val="28"/>
          <w:szCs w:val="28"/>
        </w:rPr>
        <w:t xml:space="preserve"> </w:t>
      </w:r>
      <w:proofErr w:type="spellStart"/>
      <w:r w:rsidRPr="00107941">
        <w:rPr>
          <w:rFonts w:ascii="Times New Roman" w:hAnsi="Times New Roman" w:cs="Times New Roman"/>
          <w:b/>
          <w:bCs/>
          <w:sz w:val="28"/>
          <w:szCs w:val="28"/>
        </w:rPr>
        <w:t>finance</w:t>
      </w:r>
      <w:proofErr w:type="spellEnd"/>
      <w:r>
        <w:rPr>
          <w:rFonts w:ascii="Times New Roman" w:hAnsi="Times New Roman" w:cs="Times New Roman"/>
          <w:b/>
          <w:bCs/>
          <w:sz w:val="28"/>
          <w:szCs w:val="28"/>
          <w:lang w:val="en-US"/>
        </w:rPr>
        <w:t xml:space="preserve">, </w:t>
      </w:r>
      <w:proofErr w:type="spellStart"/>
      <w:r w:rsidRPr="00107941">
        <w:rPr>
          <w:rFonts w:ascii="Times New Roman" w:hAnsi="Times New Roman" w:cs="Times New Roman"/>
          <w:b/>
          <w:bCs/>
          <w:sz w:val="28"/>
          <w:szCs w:val="28"/>
          <w:lang w:val="en-US"/>
        </w:rPr>
        <w:t>Yuriy</w:t>
      </w:r>
      <w:proofErr w:type="spellEnd"/>
      <w:r w:rsidRPr="00107941">
        <w:rPr>
          <w:rFonts w:ascii="Times New Roman" w:hAnsi="Times New Roman" w:cs="Times New Roman"/>
          <w:b/>
          <w:bCs/>
          <w:sz w:val="28"/>
          <w:szCs w:val="28"/>
          <w:lang w:val="en-US"/>
        </w:rPr>
        <w:t xml:space="preserve"> </w:t>
      </w:r>
      <w:proofErr w:type="spellStart"/>
      <w:r w:rsidRPr="00107941">
        <w:rPr>
          <w:rFonts w:ascii="Times New Roman" w:hAnsi="Times New Roman" w:cs="Times New Roman"/>
          <w:b/>
          <w:bCs/>
          <w:sz w:val="28"/>
          <w:szCs w:val="28"/>
          <w:lang w:val="en-US"/>
        </w:rPr>
        <w:t>Fedkovych</w:t>
      </w:r>
      <w:proofErr w:type="spellEnd"/>
      <w:r w:rsidRPr="00107941">
        <w:rPr>
          <w:rFonts w:ascii="Times New Roman" w:hAnsi="Times New Roman" w:cs="Times New Roman"/>
          <w:b/>
          <w:bCs/>
          <w:sz w:val="28"/>
          <w:szCs w:val="28"/>
          <w:lang w:val="en-US"/>
        </w:rPr>
        <w:t xml:space="preserve"> Chernivtsi National University</w:t>
      </w:r>
    </w:p>
    <w:p w14:paraId="3C3EEBED" w14:textId="77777777" w:rsidR="00E20A55" w:rsidRPr="003E3F69" w:rsidRDefault="00E20A55" w:rsidP="00924117">
      <w:pPr>
        <w:widowControl w:val="0"/>
        <w:spacing w:after="0" w:line="360" w:lineRule="auto"/>
        <w:ind w:firstLine="708"/>
        <w:jc w:val="center"/>
        <w:rPr>
          <w:rFonts w:ascii="Times New Roman" w:hAnsi="Times New Roman" w:cs="Times New Roman"/>
          <w:b/>
          <w:bCs/>
          <w:sz w:val="28"/>
          <w:szCs w:val="28"/>
        </w:rPr>
      </w:pPr>
    </w:p>
    <w:p w14:paraId="269A39CC" w14:textId="52B2B435" w:rsidR="00924117" w:rsidRDefault="003E3F69" w:rsidP="00924117">
      <w:pPr>
        <w:widowControl w:val="0"/>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Орієнтири п</w:t>
      </w:r>
      <w:r w:rsidR="00924117" w:rsidRPr="003E3F69">
        <w:rPr>
          <w:rFonts w:ascii="Times New Roman" w:hAnsi="Times New Roman" w:cs="Times New Roman"/>
          <w:b/>
          <w:bCs/>
          <w:sz w:val="28"/>
          <w:szCs w:val="28"/>
        </w:rPr>
        <w:t xml:space="preserve">ідвищення платоспроможності будівельного підприємства в умовах економічної нестабільності та воєнного стану (на прикладі ТОВ “БК </w:t>
      </w:r>
      <w:proofErr w:type="spellStart"/>
      <w:r w:rsidR="00924117" w:rsidRPr="003E3F69">
        <w:rPr>
          <w:rFonts w:ascii="Times New Roman" w:hAnsi="Times New Roman" w:cs="Times New Roman"/>
          <w:b/>
          <w:bCs/>
          <w:sz w:val="28"/>
          <w:szCs w:val="28"/>
        </w:rPr>
        <w:t>Роднічок</w:t>
      </w:r>
      <w:proofErr w:type="spellEnd"/>
      <w:r w:rsidR="00924117" w:rsidRPr="003E3F69">
        <w:rPr>
          <w:rFonts w:ascii="Times New Roman" w:hAnsi="Times New Roman" w:cs="Times New Roman"/>
          <w:b/>
          <w:bCs/>
          <w:sz w:val="28"/>
          <w:szCs w:val="28"/>
        </w:rPr>
        <w:t>”)</w:t>
      </w:r>
    </w:p>
    <w:p w14:paraId="2CB83E28" w14:textId="77777777" w:rsidR="00107941" w:rsidRPr="003E3F69" w:rsidRDefault="00107941" w:rsidP="00924117">
      <w:pPr>
        <w:widowControl w:val="0"/>
        <w:spacing w:after="0" w:line="360" w:lineRule="auto"/>
        <w:ind w:firstLine="708"/>
        <w:jc w:val="center"/>
        <w:rPr>
          <w:rFonts w:ascii="Times New Roman" w:hAnsi="Times New Roman" w:cs="Times New Roman"/>
          <w:b/>
          <w:bCs/>
          <w:sz w:val="28"/>
          <w:szCs w:val="28"/>
        </w:rPr>
      </w:pPr>
    </w:p>
    <w:p w14:paraId="1AC90133" w14:textId="6AA4E359" w:rsidR="00924117" w:rsidRPr="00107941" w:rsidRDefault="00107941" w:rsidP="00107941">
      <w:pPr>
        <w:widowControl w:val="0"/>
        <w:spacing w:after="0" w:line="360" w:lineRule="auto"/>
        <w:ind w:firstLine="708"/>
        <w:jc w:val="center"/>
        <w:rPr>
          <w:rFonts w:ascii="Times New Roman" w:hAnsi="Times New Roman" w:cs="Times New Roman"/>
          <w:b/>
          <w:bCs/>
          <w:sz w:val="28"/>
          <w:szCs w:val="28"/>
          <w:lang w:val="en-US"/>
        </w:rPr>
      </w:pPr>
      <w:r w:rsidRPr="00107941">
        <w:rPr>
          <w:rFonts w:ascii="Times New Roman" w:hAnsi="Times New Roman" w:cs="Times New Roman"/>
          <w:b/>
          <w:bCs/>
          <w:sz w:val="28"/>
          <w:szCs w:val="28"/>
          <w:lang w:val="en-US"/>
        </w:rPr>
        <w:t xml:space="preserve">Guidelines for increasing the solvency of a construction company in conditions of economic instability and martial law (using the example of LLC “BC </w:t>
      </w:r>
      <w:proofErr w:type="spellStart"/>
      <w:r w:rsidRPr="00107941">
        <w:rPr>
          <w:rFonts w:ascii="Times New Roman" w:hAnsi="Times New Roman" w:cs="Times New Roman"/>
          <w:b/>
          <w:bCs/>
          <w:sz w:val="28"/>
          <w:szCs w:val="28"/>
          <w:lang w:val="en-US"/>
        </w:rPr>
        <w:t>Rodnichok</w:t>
      </w:r>
      <w:proofErr w:type="spellEnd"/>
      <w:r w:rsidRPr="00107941">
        <w:rPr>
          <w:rFonts w:ascii="Times New Roman" w:hAnsi="Times New Roman" w:cs="Times New Roman"/>
          <w:b/>
          <w:bCs/>
          <w:sz w:val="28"/>
          <w:szCs w:val="28"/>
          <w:lang w:val="en-US"/>
        </w:rPr>
        <w:t>”)</w:t>
      </w:r>
    </w:p>
    <w:p w14:paraId="20EE8276" w14:textId="77777777" w:rsidR="00107941" w:rsidRDefault="00107941" w:rsidP="00C50A37">
      <w:pPr>
        <w:widowControl w:val="0"/>
        <w:spacing w:after="0" w:line="360" w:lineRule="auto"/>
        <w:rPr>
          <w:rFonts w:ascii="Times New Roman" w:hAnsi="Times New Roman" w:cs="Times New Roman"/>
          <w:b/>
          <w:bCs/>
          <w:sz w:val="28"/>
          <w:szCs w:val="28"/>
        </w:rPr>
      </w:pPr>
    </w:p>
    <w:p w14:paraId="35299B73" w14:textId="2243DFD4" w:rsidR="003E3F69" w:rsidRDefault="001F2855" w:rsidP="001F2855">
      <w:pPr>
        <w:widowControl w:val="0"/>
        <w:spacing w:after="0" w:line="360" w:lineRule="auto"/>
        <w:ind w:firstLine="708"/>
        <w:jc w:val="center"/>
        <w:rPr>
          <w:rFonts w:ascii="Times New Roman" w:hAnsi="Times New Roman" w:cs="Times New Roman"/>
          <w:b/>
          <w:bCs/>
          <w:sz w:val="28"/>
          <w:szCs w:val="28"/>
        </w:rPr>
      </w:pPr>
      <w:r w:rsidRPr="001F2855">
        <w:rPr>
          <w:rFonts w:ascii="Times New Roman" w:hAnsi="Times New Roman" w:cs="Times New Roman"/>
          <w:b/>
          <w:bCs/>
          <w:sz w:val="28"/>
          <w:szCs w:val="28"/>
        </w:rPr>
        <w:t>Анотація</w:t>
      </w:r>
    </w:p>
    <w:p w14:paraId="510061FB" w14:textId="6840AEF9" w:rsidR="001F2855" w:rsidRPr="001F2855" w:rsidRDefault="001F2855" w:rsidP="001F2855">
      <w:pPr>
        <w:widowControl w:val="0"/>
        <w:spacing w:after="0" w:line="360" w:lineRule="auto"/>
        <w:ind w:firstLine="708"/>
        <w:jc w:val="both"/>
        <w:rPr>
          <w:rFonts w:ascii="Times New Roman" w:hAnsi="Times New Roman" w:cs="Times New Roman"/>
          <w:sz w:val="28"/>
          <w:szCs w:val="28"/>
        </w:rPr>
      </w:pPr>
      <w:r w:rsidRPr="001F2855">
        <w:rPr>
          <w:rFonts w:ascii="Times New Roman" w:hAnsi="Times New Roman" w:cs="Times New Roman"/>
          <w:sz w:val="28"/>
          <w:szCs w:val="28"/>
        </w:rPr>
        <w:t xml:space="preserve">У статті досліджено теоретичні засади формування ліквідності та платоспроможності підприємств і охарактеризовано їх значення в умовах воєнної економіки України. Акцентовано на ключових фінансових показниках, що визначають здатність підприємства своєчасно виконувати свої зобов’язання, підтримувати фінансову стійкість і забезпечувати ефективне управління оборотним капіталом. У роботі </w:t>
      </w:r>
      <w:r w:rsidR="00107941">
        <w:rPr>
          <w:rFonts w:ascii="Times New Roman" w:hAnsi="Times New Roman" w:cs="Times New Roman"/>
          <w:sz w:val="28"/>
          <w:szCs w:val="28"/>
        </w:rPr>
        <w:t>досліджено в динаміці показники</w:t>
      </w:r>
      <w:r w:rsidRPr="001F2855">
        <w:rPr>
          <w:rFonts w:ascii="Times New Roman" w:hAnsi="Times New Roman" w:cs="Times New Roman"/>
          <w:sz w:val="28"/>
          <w:szCs w:val="28"/>
        </w:rPr>
        <w:t xml:space="preserve"> ліквідності та платоспроможності ТОВ «БК </w:t>
      </w:r>
      <w:proofErr w:type="spellStart"/>
      <w:r w:rsidRPr="001F2855">
        <w:rPr>
          <w:rFonts w:ascii="Times New Roman" w:hAnsi="Times New Roman" w:cs="Times New Roman"/>
          <w:sz w:val="28"/>
          <w:szCs w:val="28"/>
        </w:rPr>
        <w:t>Роднічок</w:t>
      </w:r>
      <w:proofErr w:type="spellEnd"/>
      <w:r w:rsidRPr="001F2855">
        <w:rPr>
          <w:rFonts w:ascii="Times New Roman" w:hAnsi="Times New Roman" w:cs="Times New Roman"/>
          <w:sz w:val="28"/>
          <w:szCs w:val="28"/>
        </w:rPr>
        <w:t xml:space="preserve">» </w:t>
      </w:r>
      <w:r w:rsidR="00107941">
        <w:rPr>
          <w:rFonts w:ascii="Times New Roman" w:hAnsi="Times New Roman" w:cs="Times New Roman"/>
          <w:sz w:val="28"/>
          <w:szCs w:val="28"/>
        </w:rPr>
        <w:t>(</w:t>
      </w:r>
      <w:r w:rsidRPr="001F2855">
        <w:rPr>
          <w:rFonts w:ascii="Times New Roman" w:hAnsi="Times New Roman" w:cs="Times New Roman"/>
          <w:sz w:val="28"/>
          <w:szCs w:val="28"/>
        </w:rPr>
        <w:t>2021–2025 рр.</w:t>
      </w:r>
      <w:r w:rsidR="00107941">
        <w:rPr>
          <w:rFonts w:ascii="Times New Roman" w:hAnsi="Times New Roman" w:cs="Times New Roman"/>
          <w:sz w:val="28"/>
          <w:szCs w:val="28"/>
        </w:rPr>
        <w:t>)</w:t>
      </w:r>
      <w:r w:rsidRPr="001F2855">
        <w:rPr>
          <w:rFonts w:ascii="Times New Roman" w:hAnsi="Times New Roman" w:cs="Times New Roman"/>
          <w:sz w:val="28"/>
          <w:szCs w:val="28"/>
        </w:rPr>
        <w:t xml:space="preserve"> із використанням системи коефіцієнтів поточної, швидкої та абсолютної ліквідності, коефіцієнта автономії, структури активів і зобов’язань. Отримані результати засвідчили позитивну динаміку зростання ліквідності підприємства й достатній рівень </w:t>
      </w:r>
      <w:r w:rsidRPr="001F2855">
        <w:rPr>
          <w:rFonts w:ascii="Times New Roman" w:hAnsi="Times New Roman" w:cs="Times New Roman"/>
          <w:sz w:val="28"/>
          <w:szCs w:val="28"/>
        </w:rPr>
        <w:lastRenderedPageBreak/>
        <w:t xml:space="preserve">фінансової незалежності, </w:t>
      </w:r>
      <w:r w:rsidR="00107941">
        <w:rPr>
          <w:rFonts w:ascii="Times New Roman" w:hAnsi="Times New Roman" w:cs="Times New Roman"/>
          <w:sz w:val="28"/>
          <w:szCs w:val="28"/>
        </w:rPr>
        <w:t>незважаючи на</w:t>
      </w:r>
      <w:r w:rsidRPr="001F2855">
        <w:rPr>
          <w:rFonts w:ascii="Times New Roman" w:hAnsi="Times New Roman" w:cs="Times New Roman"/>
          <w:sz w:val="28"/>
          <w:szCs w:val="28"/>
        </w:rPr>
        <w:t xml:space="preserve"> загальноекономічні ризики.</w:t>
      </w:r>
    </w:p>
    <w:p w14:paraId="16BBB560" w14:textId="6124AC22" w:rsidR="001F2855" w:rsidRPr="001F2855" w:rsidRDefault="001F2855" w:rsidP="001F2855">
      <w:pPr>
        <w:widowControl w:val="0"/>
        <w:spacing w:after="0" w:line="360" w:lineRule="auto"/>
        <w:ind w:firstLine="708"/>
        <w:jc w:val="both"/>
        <w:rPr>
          <w:rFonts w:ascii="Times New Roman" w:hAnsi="Times New Roman" w:cs="Times New Roman"/>
          <w:sz w:val="28"/>
          <w:szCs w:val="28"/>
        </w:rPr>
      </w:pPr>
      <w:r w:rsidRPr="001F2855">
        <w:rPr>
          <w:rFonts w:ascii="Times New Roman" w:hAnsi="Times New Roman" w:cs="Times New Roman"/>
          <w:sz w:val="28"/>
          <w:szCs w:val="28"/>
        </w:rPr>
        <w:t xml:space="preserve">У статті </w:t>
      </w:r>
      <w:r w:rsidR="00107941">
        <w:rPr>
          <w:rFonts w:ascii="Times New Roman" w:hAnsi="Times New Roman" w:cs="Times New Roman"/>
          <w:sz w:val="28"/>
          <w:szCs w:val="28"/>
        </w:rPr>
        <w:t xml:space="preserve">також </w:t>
      </w:r>
      <w:r w:rsidRPr="001F2855">
        <w:rPr>
          <w:rFonts w:ascii="Times New Roman" w:hAnsi="Times New Roman" w:cs="Times New Roman"/>
          <w:sz w:val="28"/>
          <w:szCs w:val="28"/>
        </w:rPr>
        <w:t>визначено чинники, які впливають на динаміку показників ліквідності</w:t>
      </w:r>
      <w:r w:rsidR="00107941">
        <w:rPr>
          <w:rFonts w:ascii="Times New Roman" w:hAnsi="Times New Roman" w:cs="Times New Roman"/>
          <w:sz w:val="28"/>
          <w:szCs w:val="28"/>
        </w:rPr>
        <w:t>. Серед них</w:t>
      </w:r>
      <w:r w:rsidRPr="001F2855">
        <w:rPr>
          <w:rFonts w:ascii="Times New Roman" w:hAnsi="Times New Roman" w:cs="Times New Roman"/>
          <w:sz w:val="28"/>
          <w:szCs w:val="28"/>
        </w:rPr>
        <w:t>: зміна обсягів оборотних активів, управління дебіторською заборгованістю, структура позикового капіталу та швидкість обороту грошових коштів. Обґрунтовано напрями удосконалення фінансового управління підприємством, серед яких: активізація контролю за дебіторською заборгованістю, оптимізація складових оборотних активів, диверсифікація діяльності, впровадження системи фінансового контролінгу та бюджетування ліквідності. Особливу увагу приділено цифровим інструментам управління фінансами, зокрема впровадженню ERP-системи, яка забезпечує оперативне відстеження грошових потоків, підвищує прозорість обліку та сприяє своєчасному прийняттю управлінських рішень.</w:t>
      </w:r>
    </w:p>
    <w:p w14:paraId="33157856" w14:textId="5D65B96C" w:rsidR="00924117" w:rsidRDefault="001F2855" w:rsidP="00B65197">
      <w:pPr>
        <w:widowControl w:val="0"/>
        <w:spacing w:after="0" w:line="360" w:lineRule="auto"/>
        <w:ind w:firstLine="708"/>
        <w:jc w:val="both"/>
        <w:rPr>
          <w:rFonts w:ascii="Times New Roman" w:hAnsi="Times New Roman" w:cs="Times New Roman"/>
          <w:sz w:val="28"/>
          <w:szCs w:val="28"/>
        </w:rPr>
      </w:pPr>
      <w:r w:rsidRPr="001F2855">
        <w:rPr>
          <w:rFonts w:ascii="Times New Roman" w:hAnsi="Times New Roman" w:cs="Times New Roman"/>
          <w:sz w:val="28"/>
          <w:szCs w:val="28"/>
        </w:rPr>
        <w:t xml:space="preserve">У </w:t>
      </w:r>
      <w:r w:rsidR="00107941">
        <w:rPr>
          <w:rFonts w:ascii="Times New Roman" w:hAnsi="Times New Roman" w:cs="Times New Roman"/>
          <w:sz w:val="28"/>
          <w:szCs w:val="28"/>
        </w:rPr>
        <w:t>даному дослідженні</w:t>
      </w:r>
      <w:r w:rsidRPr="001F2855">
        <w:rPr>
          <w:rFonts w:ascii="Times New Roman" w:hAnsi="Times New Roman" w:cs="Times New Roman"/>
          <w:sz w:val="28"/>
          <w:szCs w:val="28"/>
        </w:rPr>
        <w:t xml:space="preserve"> запропоновано комплекс практичних заходів, реалізація яких дозволить ТОВ «БК </w:t>
      </w:r>
      <w:proofErr w:type="spellStart"/>
      <w:r w:rsidRPr="001F2855">
        <w:rPr>
          <w:rFonts w:ascii="Times New Roman" w:hAnsi="Times New Roman" w:cs="Times New Roman"/>
          <w:sz w:val="28"/>
          <w:szCs w:val="28"/>
        </w:rPr>
        <w:t>Роднічок</w:t>
      </w:r>
      <w:proofErr w:type="spellEnd"/>
      <w:r w:rsidRPr="001F2855">
        <w:rPr>
          <w:rFonts w:ascii="Times New Roman" w:hAnsi="Times New Roman" w:cs="Times New Roman"/>
          <w:sz w:val="28"/>
          <w:szCs w:val="28"/>
        </w:rPr>
        <w:t>» підвищити рівень платоспроможності, зменшити фінансові ризики та забезпечити стале функціонування в умовах економічної нестабільності. Прогнозні розрахунки свідчать, що впровадження рекомендованих заходів сприятиме підвищенню коефіцієнта поточної ліквідності, зміцненню фінансової автономії та формуванню позитивної динаміки грошових потоків. Отримані результати можуть бути використані як теоретико-практична основа для удосконалення системи фінансового менеджменту будівельних підприємств.</w:t>
      </w:r>
    </w:p>
    <w:p w14:paraId="22875EE5" w14:textId="3E5037EE" w:rsidR="00107941" w:rsidRDefault="00107941" w:rsidP="00B65197">
      <w:pPr>
        <w:widowControl w:val="0"/>
        <w:spacing w:after="0" w:line="360" w:lineRule="auto"/>
        <w:ind w:firstLine="708"/>
        <w:jc w:val="both"/>
        <w:rPr>
          <w:rFonts w:ascii="Times New Roman" w:hAnsi="Times New Roman" w:cs="Times New Roman"/>
          <w:sz w:val="28"/>
          <w:szCs w:val="28"/>
        </w:rPr>
      </w:pPr>
    </w:p>
    <w:p w14:paraId="267E7CE7" w14:textId="74E99564" w:rsidR="00107941" w:rsidRPr="00E25DEA" w:rsidRDefault="00E25DEA" w:rsidP="00E25DEA">
      <w:pPr>
        <w:widowControl w:val="0"/>
        <w:spacing w:after="0" w:line="360" w:lineRule="auto"/>
        <w:ind w:firstLine="708"/>
        <w:jc w:val="center"/>
        <w:rPr>
          <w:rFonts w:ascii="Times New Roman" w:hAnsi="Times New Roman" w:cs="Times New Roman"/>
          <w:b/>
          <w:bCs/>
          <w:sz w:val="28"/>
          <w:szCs w:val="28"/>
          <w:lang w:val="en-US"/>
        </w:rPr>
      </w:pPr>
      <w:r w:rsidRPr="00E25DEA">
        <w:rPr>
          <w:rFonts w:ascii="Times New Roman" w:hAnsi="Times New Roman" w:cs="Times New Roman"/>
          <w:b/>
          <w:bCs/>
          <w:sz w:val="28"/>
          <w:szCs w:val="28"/>
          <w:lang w:val="en-US"/>
        </w:rPr>
        <w:t>Annotation</w:t>
      </w:r>
    </w:p>
    <w:p w14:paraId="40152506" w14:textId="64F5AF2C" w:rsidR="00E25DEA" w:rsidRDefault="00E25DEA" w:rsidP="00E25DEA">
      <w:pPr>
        <w:widowControl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T</w:t>
      </w:r>
      <w:r w:rsidRPr="00E25DEA">
        <w:rPr>
          <w:rFonts w:ascii="Times New Roman" w:hAnsi="Times New Roman" w:cs="Times New Roman"/>
          <w:sz w:val="28"/>
          <w:szCs w:val="28"/>
          <w:lang w:val="en-US"/>
        </w:rPr>
        <w:t>he theoretical principles of the formation of liquidity and solvency of enterprises and characterizes their significance in the conditions of the war economy of Ukraine</w:t>
      </w:r>
      <w:r w:rsidRPr="00E25D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are </w:t>
      </w:r>
      <w:r w:rsidRPr="00E25DEA">
        <w:rPr>
          <w:rFonts w:ascii="Times New Roman" w:hAnsi="Times New Roman" w:cs="Times New Roman"/>
          <w:sz w:val="28"/>
          <w:szCs w:val="28"/>
          <w:lang w:val="en-US"/>
        </w:rPr>
        <w:t>highlight</w:t>
      </w:r>
      <w:r>
        <w:rPr>
          <w:rFonts w:ascii="Times New Roman" w:hAnsi="Times New Roman" w:cs="Times New Roman"/>
          <w:sz w:val="28"/>
          <w:szCs w:val="28"/>
          <w:lang w:val="en-US"/>
        </w:rPr>
        <w:t>ed in t</w:t>
      </w:r>
      <w:r w:rsidRPr="00E25DEA">
        <w:rPr>
          <w:rFonts w:ascii="Times New Roman" w:hAnsi="Times New Roman" w:cs="Times New Roman"/>
          <w:sz w:val="28"/>
          <w:szCs w:val="28"/>
          <w:lang w:val="en-US"/>
        </w:rPr>
        <w:t>he article.</w:t>
      </w:r>
      <w:r w:rsidRPr="00E25DEA">
        <w:t xml:space="preserve"> </w:t>
      </w:r>
      <w:r w:rsidRPr="00E25DEA">
        <w:rPr>
          <w:rFonts w:ascii="Times New Roman" w:hAnsi="Times New Roman" w:cs="Times New Roman"/>
          <w:sz w:val="28"/>
          <w:szCs w:val="28"/>
          <w:lang w:val="en-US"/>
        </w:rPr>
        <w:t>Emphasis is placed on key financial indicators that determine the ability of an enterprise to meet its obligations in a timely manner, maintain financial stability, and ensure effective management of working capital.</w:t>
      </w:r>
      <w:r w:rsidRPr="00E25DEA">
        <w:t xml:space="preserve"> </w:t>
      </w:r>
      <w:proofErr w:type="gramStart"/>
      <w:r w:rsidRPr="00E25DEA">
        <w:rPr>
          <w:rFonts w:ascii="Times New Roman" w:hAnsi="Times New Roman" w:cs="Times New Roman"/>
          <w:sz w:val="28"/>
          <w:szCs w:val="28"/>
          <w:lang w:val="en-US"/>
        </w:rPr>
        <w:t>The  dynamics</w:t>
      </w:r>
      <w:proofErr w:type="gramEnd"/>
      <w:r w:rsidRPr="00E25DEA">
        <w:rPr>
          <w:rFonts w:ascii="Times New Roman" w:hAnsi="Times New Roman" w:cs="Times New Roman"/>
          <w:sz w:val="28"/>
          <w:szCs w:val="28"/>
          <w:lang w:val="en-US"/>
        </w:rPr>
        <w:t xml:space="preserve"> of liquidity and solvency indicators of LLC "BC </w:t>
      </w:r>
      <w:proofErr w:type="spellStart"/>
      <w:r w:rsidRPr="00E25DEA">
        <w:rPr>
          <w:rFonts w:ascii="Times New Roman" w:hAnsi="Times New Roman" w:cs="Times New Roman"/>
          <w:sz w:val="28"/>
          <w:szCs w:val="28"/>
          <w:lang w:val="en-US"/>
        </w:rPr>
        <w:t>Rodnichok</w:t>
      </w:r>
      <w:proofErr w:type="spellEnd"/>
      <w:r w:rsidRPr="00E25DEA">
        <w:rPr>
          <w:rFonts w:ascii="Times New Roman" w:hAnsi="Times New Roman" w:cs="Times New Roman"/>
          <w:sz w:val="28"/>
          <w:szCs w:val="28"/>
          <w:lang w:val="en-US"/>
        </w:rPr>
        <w:t>" (2021–2025) using a system of current, quick and absolute liquidity ratios, autonomy ratio, and asset and liability structure</w:t>
      </w:r>
      <w:r w:rsidRPr="00E25DEA">
        <w:rPr>
          <w:rFonts w:ascii="Times New Roman" w:hAnsi="Times New Roman" w:cs="Times New Roman"/>
          <w:sz w:val="28"/>
          <w:szCs w:val="28"/>
          <w:lang w:val="en-US"/>
        </w:rPr>
        <w:t xml:space="preserve"> </w:t>
      </w:r>
      <w:bookmarkStart w:id="1" w:name="_Hlk214471415"/>
      <w:r>
        <w:rPr>
          <w:rFonts w:ascii="Times New Roman" w:hAnsi="Times New Roman" w:cs="Times New Roman"/>
          <w:sz w:val="28"/>
          <w:szCs w:val="28"/>
          <w:lang w:val="en-US"/>
        </w:rPr>
        <w:t xml:space="preserve">are </w:t>
      </w:r>
      <w:r w:rsidRPr="00E25DEA">
        <w:rPr>
          <w:rFonts w:ascii="Times New Roman" w:hAnsi="Times New Roman" w:cs="Times New Roman"/>
          <w:sz w:val="28"/>
          <w:szCs w:val="28"/>
          <w:lang w:val="en-US"/>
        </w:rPr>
        <w:t>highlights</w:t>
      </w:r>
      <w:bookmarkEnd w:id="1"/>
      <w:r w:rsidRPr="00E25DE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this </w:t>
      </w:r>
      <w:r w:rsidRPr="00E25DEA">
        <w:rPr>
          <w:rFonts w:ascii="Times New Roman" w:hAnsi="Times New Roman" w:cs="Times New Roman"/>
          <w:sz w:val="28"/>
          <w:szCs w:val="28"/>
          <w:lang w:val="en-US"/>
        </w:rPr>
        <w:t>paper</w:t>
      </w:r>
      <w:r>
        <w:rPr>
          <w:rFonts w:ascii="Times New Roman" w:hAnsi="Times New Roman" w:cs="Times New Roman"/>
          <w:sz w:val="28"/>
          <w:szCs w:val="28"/>
          <w:lang w:val="en-US"/>
        </w:rPr>
        <w:t xml:space="preserve"> too</w:t>
      </w:r>
      <w:r w:rsidRPr="00E25DEA">
        <w:rPr>
          <w:rFonts w:ascii="Times New Roman" w:hAnsi="Times New Roman" w:cs="Times New Roman"/>
          <w:sz w:val="28"/>
          <w:szCs w:val="28"/>
          <w:lang w:val="en-US"/>
        </w:rPr>
        <w:t>.</w:t>
      </w:r>
      <w:r>
        <w:rPr>
          <w:rFonts w:ascii="Times New Roman" w:hAnsi="Times New Roman" w:cs="Times New Roman"/>
          <w:sz w:val="28"/>
          <w:szCs w:val="28"/>
        </w:rPr>
        <w:t xml:space="preserve"> </w:t>
      </w:r>
    </w:p>
    <w:p w14:paraId="404E1562" w14:textId="6EB402C9" w:rsidR="00E25DEA" w:rsidRDefault="00E25DEA" w:rsidP="00E25DEA">
      <w:pPr>
        <w:widowControl w:val="0"/>
        <w:spacing w:after="0" w:line="360" w:lineRule="auto"/>
        <w:ind w:firstLine="708"/>
        <w:jc w:val="both"/>
        <w:rPr>
          <w:rFonts w:ascii="Times New Roman" w:hAnsi="Times New Roman" w:cs="Times New Roman"/>
          <w:sz w:val="28"/>
          <w:szCs w:val="28"/>
          <w:lang w:val="en-US"/>
        </w:rPr>
      </w:pPr>
      <w:r w:rsidRPr="00E25DEA">
        <w:rPr>
          <w:rFonts w:ascii="Times New Roman" w:hAnsi="Times New Roman" w:cs="Times New Roman"/>
          <w:sz w:val="28"/>
          <w:szCs w:val="28"/>
          <w:lang w:val="en-US"/>
        </w:rPr>
        <w:lastRenderedPageBreak/>
        <w:t>The results obtained showed positive dynamics of the company's liquidity growth and a sufficient level of financial independence, despite general economic risks.</w:t>
      </w:r>
    </w:p>
    <w:p w14:paraId="0ADBCE23" w14:textId="057127C9" w:rsidR="00E25DEA" w:rsidRDefault="00E25DEA" w:rsidP="00E25DEA">
      <w:pPr>
        <w:widowControl w:val="0"/>
        <w:spacing w:after="0" w:line="360" w:lineRule="auto"/>
        <w:ind w:firstLine="708"/>
        <w:jc w:val="both"/>
        <w:rPr>
          <w:rFonts w:ascii="Times New Roman" w:hAnsi="Times New Roman" w:cs="Times New Roman"/>
          <w:sz w:val="28"/>
          <w:szCs w:val="28"/>
          <w:lang w:val="en-US"/>
        </w:rPr>
      </w:pPr>
      <w:r w:rsidRPr="00E25DEA">
        <w:rPr>
          <w:rFonts w:ascii="Times New Roman" w:hAnsi="Times New Roman" w:cs="Times New Roman"/>
          <w:sz w:val="28"/>
          <w:szCs w:val="28"/>
          <w:lang w:val="en-US"/>
        </w:rPr>
        <w:t>The article also identifies factors that influence the dynamics of liquidity indicators. Among them: changes in the volume of current assets, accounts receivable management, the structure of loan capital, and the speed of cash turnover.</w:t>
      </w:r>
      <w:r w:rsidR="00C50A37" w:rsidRPr="00C50A37">
        <w:t xml:space="preserve"> </w:t>
      </w:r>
      <w:r w:rsidR="00C50A37" w:rsidRPr="00C50A37">
        <w:rPr>
          <w:rFonts w:ascii="Times New Roman" w:hAnsi="Times New Roman" w:cs="Times New Roman"/>
          <w:sz w:val="28"/>
          <w:szCs w:val="28"/>
          <w:lang w:val="en-US"/>
        </w:rPr>
        <w:t>The directions for improving the financial management of the enterprise are substantiated, including: intensification of control over receivables, optimization of current assets components, diversification of activities, implementation of a financial controlling system and liquidity budgeting.</w:t>
      </w:r>
      <w:r w:rsidR="00C50A37" w:rsidRPr="00C50A37">
        <w:t xml:space="preserve"> </w:t>
      </w:r>
      <w:r w:rsidR="00C50A37" w:rsidRPr="00C50A37">
        <w:rPr>
          <w:rFonts w:ascii="Times New Roman" w:hAnsi="Times New Roman" w:cs="Times New Roman"/>
          <w:sz w:val="28"/>
          <w:szCs w:val="28"/>
          <w:lang w:val="en-US"/>
        </w:rPr>
        <w:t>Particular attention is paid to digital financial management tools, in particular the implementation of an ERP system, which provides operational tracking of cash flows, increases accounting transparency, and facilitates timely management decision-making.</w:t>
      </w:r>
    </w:p>
    <w:p w14:paraId="610FEB49" w14:textId="5F647173" w:rsidR="00C50A37" w:rsidRPr="00E25DEA" w:rsidRDefault="00C50A37" w:rsidP="00E25DEA">
      <w:pPr>
        <w:widowControl w:val="0"/>
        <w:spacing w:after="0" w:line="360" w:lineRule="auto"/>
        <w:ind w:firstLine="708"/>
        <w:jc w:val="both"/>
        <w:rPr>
          <w:rFonts w:ascii="Times New Roman" w:hAnsi="Times New Roman" w:cs="Times New Roman"/>
          <w:sz w:val="28"/>
          <w:szCs w:val="28"/>
          <w:lang w:val="en-US"/>
        </w:rPr>
      </w:pPr>
      <w:r w:rsidRPr="00C50A37">
        <w:rPr>
          <w:rFonts w:ascii="Times New Roman" w:hAnsi="Times New Roman" w:cs="Times New Roman"/>
          <w:sz w:val="28"/>
          <w:szCs w:val="28"/>
          <w:lang w:val="en-US"/>
        </w:rPr>
        <w:t xml:space="preserve">This study proposes a set of practical measures, the implementation of which will allow LLC "BC </w:t>
      </w:r>
      <w:proofErr w:type="spellStart"/>
      <w:r w:rsidRPr="00C50A37">
        <w:rPr>
          <w:rFonts w:ascii="Times New Roman" w:hAnsi="Times New Roman" w:cs="Times New Roman"/>
          <w:sz w:val="28"/>
          <w:szCs w:val="28"/>
          <w:lang w:val="en-US"/>
        </w:rPr>
        <w:t>Rodnichok</w:t>
      </w:r>
      <w:proofErr w:type="spellEnd"/>
      <w:r w:rsidRPr="00C50A37">
        <w:rPr>
          <w:rFonts w:ascii="Times New Roman" w:hAnsi="Times New Roman" w:cs="Times New Roman"/>
          <w:sz w:val="28"/>
          <w:szCs w:val="28"/>
          <w:lang w:val="en-US"/>
        </w:rPr>
        <w:t>" to increase its solvency level, reduce financial risks, and ensure sustainable operation in conditions of economic instability.</w:t>
      </w:r>
      <w:r w:rsidRPr="00C50A37">
        <w:t xml:space="preserve"> </w:t>
      </w:r>
      <w:r w:rsidRPr="00C50A37">
        <w:rPr>
          <w:rFonts w:ascii="Times New Roman" w:hAnsi="Times New Roman" w:cs="Times New Roman"/>
          <w:sz w:val="28"/>
          <w:szCs w:val="28"/>
          <w:lang w:val="en-US"/>
        </w:rPr>
        <w:t>Forecast calculations indicate that the implementation of the recommended measures will contribute to an increase in the current liquidity ratio, strengthening financial autonomy, and the formation of positive cash flow dynamics.</w:t>
      </w:r>
      <w:r w:rsidRPr="00C50A37">
        <w:t xml:space="preserve"> </w:t>
      </w:r>
      <w:r w:rsidRPr="00C50A37">
        <w:rPr>
          <w:rFonts w:ascii="Times New Roman" w:hAnsi="Times New Roman" w:cs="Times New Roman"/>
          <w:sz w:val="28"/>
          <w:szCs w:val="28"/>
          <w:lang w:val="en-US"/>
        </w:rPr>
        <w:t>The results obtained can be used as a theoretical and practical basis for improving the financial management system of construction enterprises.</w:t>
      </w:r>
    </w:p>
    <w:p w14:paraId="08B11083" w14:textId="77777777" w:rsidR="00E25DEA" w:rsidRPr="00E25DEA" w:rsidRDefault="00E25DEA" w:rsidP="00C50A37">
      <w:pPr>
        <w:widowControl w:val="0"/>
        <w:spacing w:after="0" w:line="360" w:lineRule="auto"/>
        <w:jc w:val="both"/>
        <w:rPr>
          <w:rFonts w:ascii="Times New Roman" w:hAnsi="Times New Roman" w:cs="Times New Roman"/>
          <w:sz w:val="28"/>
          <w:szCs w:val="28"/>
        </w:rPr>
      </w:pPr>
    </w:p>
    <w:p w14:paraId="4A81D0FE" w14:textId="3FF4A221" w:rsidR="00E52227" w:rsidRPr="003E3F69" w:rsidRDefault="00924117" w:rsidP="00924117">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b/>
          <w:bCs/>
          <w:sz w:val="28"/>
          <w:szCs w:val="28"/>
        </w:rPr>
        <w:t>Вступ</w:t>
      </w:r>
      <w:r w:rsidRPr="003E3F69">
        <w:rPr>
          <w:rFonts w:ascii="Times New Roman" w:hAnsi="Times New Roman" w:cs="Times New Roman"/>
          <w:sz w:val="28"/>
          <w:szCs w:val="28"/>
        </w:rPr>
        <w:t xml:space="preserve">. </w:t>
      </w:r>
      <w:r w:rsidR="00E52227" w:rsidRPr="003E3F69">
        <w:rPr>
          <w:rFonts w:ascii="Times New Roman" w:hAnsi="Times New Roman" w:cs="Times New Roman"/>
          <w:sz w:val="28"/>
          <w:szCs w:val="28"/>
        </w:rPr>
        <w:t xml:space="preserve">Економічна ситуація в Україні у період воєнного стану стала випробуванням для фінансової стійкості підприємств усіх галузей. Найбільших труднощів зазнали компанії будівельного сектору, адже саме вони найбільш залежні від інвестицій, доступу до матеріалів і довгострокового фінансування. Після 2022 року відбулися суттєві зміни у структурі ринку, підвищилася собівартість робіт, ускладнилися розрахунки між контрагентами. Водночас будівництво стало пріоритетною галуззю для держави, оскільки на ньому ґрунтується процес відновлення інфраструктури та житлового фонду. В таких умовах саме здатність підприємства підтримувати платоспроможність і своєчасно виконувати фінансові зобов’язання є головним критерієм виживання </w:t>
      </w:r>
      <w:r w:rsidR="00E52227" w:rsidRPr="003E3F69">
        <w:rPr>
          <w:rFonts w:ascii="Times New Roman" w:hAnsi="Times New Roman" w:cs="Times New Roman"/>
          <w:sz w:val="28"/>
          <w:szCs w:val="28"/>
        </w:rPr>
        <w:lastRenderedPageBreak/>
        <w:t>та розвитку.</w:t>
      </w:r>
    </w:p>
    <w:p w14:paraId="62D8C94D" w14:textId="1678A7F9" w:rsidR="0050787E" w:rsidRPr="003E3F69" w:rsidRDefault="00924117" w:rsidP="0050787E">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b/>
          <w:bCs/>
          <w:sz w:val="28"/>
          <w:szCs w:val="28"/>
        </w:rPr>
        <w:t>Виклад основного матеріалу.</w:t>
      </w:r>
      <w:r w:rsidRPr="003E3F69">
        <w:rPr>
          <w:rFonts w:ascii="Times New Roman" w:hAnsi="Times New Roman" w:cs="Times New Roman"/>
          <w:sz w:val="28"/>
          <w:szCs w:val="28"/>
        </w:rPr>
        <w:t xml:space="preserve"> </w:t>
      </w:r>
      <w:r w:rsidR="00E52227" w:rsidRPr="003E3F69">
        <w:rPr>
          <w:rFonts w:ascii="Times New Roman" w:hAnsi="Times New Roman" w:cs="Times New Roman"/>
          <w:sz w:val="28"/>
          <w:szCs w:val="28"/>
        </w:rPr>
        <w:t xml:space="preserve">Платоспроможність підприємства — це не лише статичний показник, а динамічний результат взаємодії прибутковості, оборотності активів і ефективності управління капіталом. У мирний час її зниження могло свідчити про нераціональну фінансову політику, але в умовах війни — це наслідок зовнішніх обставин: інфляції, перебоїв у постачанні, нестачі обігових коштів. Для будівельних компаній особливо небезпечним є “заморожування” ресурсів у незавершеному виробництві, коли значна частина капіталу не бере участі в обороті. Саме тому завдання аналізу платоспроможності ТОВ «БК </w:t>
      </w:r>
      <w:proofErr w:type="spellStart"/>
      <w:r w:rsidR="00E52227" w:rsidRPr="003E3F69">
        <w:rPr>
          <w:rFonts w:ascii="Times New Roman" w:hAnsi="Times New Roman" w:cs="Times New Roman"/>
          <w:sz w:val="28"/>
          <w:szCs w:val="28"/>
        </w:rPr>
        <w:t>Роднічок</w:t>
      </w:r>
      <w:proofErr w:type="spellEnd"/>
      <w:r w:rsidR="00E52227" w:rsidRPr="003E3F69">
        <w:rPr>
          <w:rFonts w:ascii="Times New Roman" w:hAnsi="Times New Roman" w:cs="Times New Roman"/>
          <w:sz w:val="28"/>
          <w:szCs w:val="28"/>
        </w:rPr>
        <w:t>» полягає не лише в оцінці показників, а й у розкритті механізмів адаптації підприємства до кризових умов</w:t>
      </w:r>
      <w:r w:rsidR="00093ED0" w:rsidRPr="003E3F69">
        <w:rPr>
          <w:rFonts w:ascii="Times New Roman" w:hAnsi="Times New Roman" w:cs="Times New Roman"/>
          <w:sz w:val="28"/>
          <w:szCs w:val="28"/>
        </w:rPr>
        <w:t xml:space="preserve"> (особливо складних умов, спричинених військовою агресією </w:t>
      </w:r>
      <w:proofErr w:type="spellStart"/>
      <w:r w:rsidR="00093ED0" w:rsidRPr="003E3F69">
        <w:rPr>
          <w:rFonts w:ascii="Times New Roman" w:hAnsi="Times New Roman" w:cs="Times New Roman"/>
          <w:sz w:val="28"/>
          <w:szCs w:val="28"/>
        </w:rPr>
        <w:t>росії</w:t>
      </w:r>
      <w:proofErr w:type="spellEnd"/>
      <w:r w:rsidR="00093ED0" w:rsidRPr="003E3F69">
        <w:rPr>
          <w:rFonts w:ascii="Times New Roman" w:hAnsi="Times New Roman" w:cs="Times New Roman"/>
          <w:sz w:val="28"/>
          <w:szCs w:val="28"/>
        </w:rPr>
        <w:t>)</w:t>
      </w:r>
      <w:r w:rsidR="00E52227" w:rsidRPr="003E3F69">
        <w:rPr>
          <w:rFonts w:ascii="Times New Roman" w:hAnsi="Times New Roman" w:cs="Times New Roman"/>
          <w:sz w:val="28"/>
          <w:szCs w:val="28"/>
        </w:rPr>
        <w:t>.</w:t>
      </w:r>
    </w:p>
    <w:p w14:paraId="459E493C" w14:textId="3F71DA9F" w:rsidR="002106BE" w:rsidRPr="002106BE" w:rsidRDefault="002106BE" w:rsidP="002106BE">
      <w:pPr>
        <w:widowControl w:val="0"/>
        <w:spacing w:after="0" w:line="360" w:lineRule="auto"/>
        <w:ind w:firstLine="708"/>
        <w:jc w:val="both"/>
        <w:rPr>
          <w:rFonts w:ascii="Times New Roman" w:hAnsi="Times New Roman" w:cs="Times New Roman"/>
          <w:sz w:val="28"/>
          <w:szCs w:val="28"/>
        </w:rPr>
      </w:pPr>
      <w:r w:rsidRPr="002106BE">
        <w:rPr>
          <w:rFonts w:ascii="Times New Roman" w:hAnsi="Times New Roman" w:cs="Times New Roman"/>
          <w:sz w:val="28"/>
          <w:szCs w:val="28"/>
        </w:rPr>
        <w:t>ТОВ БК «</w:t>
      </w:r>
      <w:proofErr w:type="spellStart"/>
      <w:r w:rsidRPr="002106BE">
        <w:rPr>
          <w:rFonts w:ascii="Times New Roman" w:hAnsi="Times New Roman" w:cs="Times New Roman"/>
          <w:sz w:val="28"/>
          <w:szCs w:val="28"/>
        </w:rPr>
        <w:t>Роднічок</w:t>
      </w:r>
      <w:proofErr w:type="spellEnd"/>
      <w:r w:rsidRPr="002106BE">
        <w:rPr>
          <w:rFonts w:ascii="Times New Roman" w:hAnsi="Times New Roman" w:cs="Times New Roman"/>
          <w:sz w:val="28"/>
          <w:szCs w:val="28"/>
        </w:rPr>
        <w:t>» — одне з провідних підприємств Західної України у сфері виробництва будівельних матеріалів та виконання будівельно-монтажних робіт. Компанія розпочала діяльність з виготовлення алюмінієвих та ПВХ-вікон і дверей, поступово розширивши виробничі потужності та номенклатуру продукції.</w:t>
      </w:r>
    </w:p>
    <w:p w14:paraId="2D27ADE5" w14:textId="16C48A44" w:rsidR="002106BE" w:rsidRPr="002106BE" w:rsidRDefault="002106BE" w:rsidP="002106BE">
      <w:pPr>
        <w:widowControl w:val="0"/>
        <w:spacing w:after="0" w:line="360" w:lineRule="auto"/>
        <w:ind w:firstLine="708"/>
        <w:jc w:val="both"/>
        <w:rPr>
          <w:rFonts w:ascii="Times New Roman" w:hAnsi="Times New Roman" w:cs="Times New Roman"/>
          <w:sz w:val="28"/>
          <w:szCs w:val="28"/>
        </w:rPr>
      </w:pPr>
      <w:r w:rsidRPr="002106BE">
        <w:rPr>
          <w:rFonts w:ascii="Times New Roman" w:hAnsi="Times New Roman" w:cs="Times New Roman"/>
          <w:sz w:val="28"/>
          <w:szCs w:val="28"/>
        </w:rPr>
        <w:t xml:space="preserve">У 2002–2005 рр. підприємство здійснило масштабну модернізацію: було зведено новий комплекс виробничих </w:t>
      </w:r>
      <w:proofErr w:type="spellStart"/>
      <w:r w:rsidRPr="002106BE">
        <w:rPr>
          <w:rFonts w:ascii="Times New Roman" w:hAnsi="Times New Roman" w:cs="Times New Roman"/>
          <w:sz w:val="28"/>
          <w:szCs w:val="28"/>
        </w:rPr>
        <w:t>цехів</w:t>
      </w:r>
      <w:proofErr w:type="spellEnd"/>
      <w:r w:rsidRPr="002106BE">
        <w:rPr>
          <w:rFonts w:ascii="Times New Roman" w:hAnsi="Times New Roman" w:cs="Times New Roman"/>
          <w:sz w:val="28"/>
          <w:szCs w:val="28"/>
        </w:rPr>
        <w:t xml:space="preserve">, встановлено лінії для випуску металочерепиці, </w:t>
      </w:r>
      <w:proofErr w:type="spellStart"/>
      <w:r w:rsidRPr="002106BE">
        <w:rPr>
          <w:rFonts w:ascii="Times New Roman" w:hAnsi="Times New Roman" w:cs="Times New Roman"/>
          <w:sz w:val="28"/>
          <w:szCs w:val="28"/>
        </w:rPr>
        <w:t>профнастилу</w:t>
      </w:r>
      <w:proofErr w:type="spellEnd"/>
      <w:r w:rsidRPr="002106BE">
        <w:rPr>
          <w:rFonts w:ascii="Times New Roman" w:hAnsi="Times New Roman" w:cs="Times New Roman"/>
          <w:sz w:val="28"/>
          <w:szCs w:val="28"/>
        </w:rPr>
        <w:t xml:space="preserve">, </w:t>
      </w:r>
      <w:proofErr w:type="spellStart"/>
      <w:r w:rsidRPr="002106BE">
        <w:rPr>
          <w:rFonts w:ascii="Times New Roman" w:hAnsi="Times New Roman" w:cs="Times New Roman"/>
          <w:sz w:val="28"/>
          <w:szCs w:val="28"/>
        </w:rPr>
        <w:t>сайдингу</w:t>
      </w:r>
      <w:proofErr w:type="spellEnd"/>
      <w:r w:rsidRPr="002106BE">
        <w:rPr>
          <w:rFonts w:ascii="Times New Roman" w:hAnsi="Times New Roman" w:cs="Times New Roman"/>
          <w:sz w:val="28"/>
          <w:szCs w:val="28"/>
        </w:rPr>
        <w:t xml:space="preserve"> та сендвіч-панелей. Починаючи з 2005 року, «</w:t>
      </w:r>
      <w:proofErr w:type="spellStart"/>
      <w:r w:rsidRPr="002106BE">
        <w:rPr>
          <w:rFonts w:ascii="Times New Roman" w:hAnsi="Times New Roman" w:cs="Times New Roman"/>
          <w:sz w:val="28"/>
          <w:szCs w:val="28"/>
        </w:rPr>
        <w:t>Роднічок</w:t>
      </w:r>
      <w:proofErr w:type="spellEnd"/>
      <w:r w:rsidRPr="002106BE">
        <w:rPr>
          <w:rFonts w:ascii="Times New Roman" w:hAnsi="Times New Roman" w:cs="Times New Roman"/>
          <w:sz w:val="28"/>
          <w:szCs w:val="28"/>
        </w:rPr>
        <w:t xml:space="preserve">» також освоїв виробництво товарного бетону, </w:t>
      </w:r>
      <w:proofErr w:type="spellStart"/>
      <w:r w:rsidRPr="002106BE">
        <w:rPr>
          <w:rFonts w:ascii="Times New Roman" w:hAnsi="Times New Roman" w:cs="Times New Roman"/>
          <w:sz w:val="28"/>
          <w:szCs w:val="28"/>
        </w:rPr>
        <w:t>керамзитних</w:t>
      </w:r>
      <w:proofErr w:type="spellEnd"/>
      <w:r w:rsidRPr="002106BE">
        <w:rPr>
          <w:rFonts w:ascii="Times New Roman" w:hAnsi="Times New Roman" w:cs="Times New Roman"/>
          <w:sz w:val="28"/>
          <w:szCs w:val="28"/>
        </w:rPr>
        <w:t xml:space="preserve"> блоків, тротуарної плитки та інших будівельних матеріалів. Для забезпечення логістики була створена дочірня компанія «</w:t>
      </w:r>
      <w:proofErr w:type="spellStart"/>
      <w:r w:rsidRPr="002106BE">
        <w:rPr>
          <w:rFonts w:ascii="Times New Roman" w:hAnsi="Times New Roman" w:cs="Times New Roman"/>
          <w:sz w:val="28"/>
          <w:szCs w:val="28"/>
        </w:rPr>
        <w:t>Роднічок</w:t>
      </w:r>
      <w:proofErr w:type="spellEnd"/>
      <w:r w:rsidRPr="002106BE">
        <w:rPr>
          <w:rFonts w:ascii="Times New Roman" w:hAnsi="Times New Roman" w:cs="Times New Roman"/>
          <w:sz w:val="28"/>
          <w:szCs w:val="28"/>
        </w:rPr>
        <w:t>-Транс», яка обслуговує доставку продукції власним парком спецтехніки.</w:t>
      </w:r>
    </w:p>
    <w:p w14:paraId="44D44528" w14:textId="77777777" w:rsidR="00FE7DC9" w:rsidRDefault="002106BE" w:rsidP="002106BE">
      <w:pPr>
        <w:widowControl w:val="0"/>
        <w:spacing w:after="0" w:line="360" w:lineRule="auto"/>
        <w:ind w:firstLine="708"/>
        <w:jc w:val="both"/>
        <w:rPr>
          <w:rFonts w:ascii="Times New Roman" w:hAnsi="Times New Roman" w:cs="Times New Roman"/>
          <w:sz w:val="28"/>
          <w:szCs w:val="28"/>
        </w:rPr>
      </w:pPr>
      <w:r w:rsidRPr="002106BE">
        <w:rPr>
          <w:rFonts w:ascii="Times New Roman" w:hAnsi="Times New Roman" w:cs="Times New Roman"/>
          <w:sz w:val="28"/>
          <w:szCs w:val="28"/>
        </w:rPr>
        <w:t>Сьогодні підприємство продовжує активно розвиватися, зосереджуючи увагу на якості продукції, впровадженні сучасних технологій, підвищенні кваліфікації персоналу та дотриманні високих стандартів сервісу.</w:t>
      </w:r>
    </w:p>
    <w:p w14:paraId="46C43AC4" w14:textId="4DD6CF1C" w:rsidR="00E52227" w:rsidRPr="003E3F69" w:rsidRDefault="00E52227" w:rsidP="002106BE">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Динаміка фінансових показників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у 2021–2025 роках</w:t>
      </w:r>
      <w:r w:rsidR="00D1117D" w:rsidRPr="003E3F69">
        <w:rPr>
          <w:rFonts w:ascii="Times New Roman" w:hAnsi="Times New Roman" w:cs="Times New Roman"/>
          <w:sz w:val="28"/>
          <w:szCs w:val="28"/>
        </w:rPr>
        <w:t xml:space="preserve"> (табл. 1)</w:t>
      </w:r>
      <w:r w:rsidRPr="003E3F69">
        <w:rPr>
          <w:rFonts w:ascii="Times New Roman" w:hAnsi="Times New Roman" w:cs="Times New Roman"/>
          <w:sz w:val="28"/>
          <w:szCs w:val="28"/>
        </w:rPr>
        <w:t xml:space="preserve"> свідчить про поступове зростання обсягів діяльності навіть в умовах економічної турбулентності. Валюта балансу </w:t>
      </w:r>
      <w:r w:rsidR="00E20A55" w:rsidRPr="003E3F69">
        <w:rPr>
          <w:rFonts w:ascii="Times New Roman" w:hAnsi="Times New Roman" w:cs="Times New Roman"/>
          <w:sz w:val="28"/>
          <w:szCs w:val="28"/>
        </w:rPr>
        <w:t xml:space="preserve">(обсяги майна) </w:t>
      </w:r>
      <w:r w:rsidRPr="003E3F69">
        <w:rPr>
          <w:rFonts w:ascii="Times New Roman" w:hAnsi="Times New Roman" w:cs="Times New Roman"/>
          <w:sz w:val="28"/>
          <w:szCs w:val="28"/>
        </w:rPr>
        <w:t xml:space="preserve">збільшилася з 10,4 млн грн у 2021 році до 16,5 млн грн у 2025 році, тобто на 58,7%, що говорить про </w:t>
      </w:r>
      <w:r w:rsidRPr="003E3F69">
        <w:rPr>
          <w:rFonts w:ascii="Times New Roman" w:hAnsi="Times New Roman" w:cs="Times New Roman"/>
          <w:sz w:val="28"/>
          <w:szCs w:val="28"/>
        </w:rPr>
        <w:lastRenderedPageBreak/>
        <w:t>розширення операційної бази. Власний капітал зріс із 5,76 до 7,85 млн грн, оборотні активи — майже удвічі. Ця тенденція є свідченням внутрішнього розвитку компанії, її здатності до фінансового самозабезпечення</w:t>
      </w:r>
      <w:r w:rsidR="00E20A55" w:rsidRPr="003E3F69">
        <w:rPr>
          <w:rFonts w:ascii="Times New Roman" w:hAnsi="Times New Roman" w:cs="Times New Roman"/>
          <w:sz w:val="28"/>
          <w:szCs w:val="28"/>
        </w:rPr>
        <w:t xml:space="preserve"> та ймовірної адаптації до складних умов господарювання</w:t>
      </w:r>
      <w:r w:rsidRPr="003E3F69">
        <w:rPr>
          <w:rFonts w:ascii="Times New Roman" w:hAnsi="Times New Roman" w:cs="Times New Roman"/>
          <w:sz w:val="28"/>
          <w:szCs w:val="28"/>
        </w:rPr>
        <w:t xml:space="preserve">. Водночас зросли і поточні зобов’язання — із 4,2 до 6,98 млн грн, що демонструє помірну кредитну залежність, притаманну підприємствам, які активно розширюють </w:t>
      </w:r>
      <w:proofErr w:type="spellStart"/>
      <w:r w:rsidRPr="003E3F69">
        <w:rPr>
          <w:rFonts w:ascii="Times New Roman" w:hAnsi="Times New Roman" w:cs="Times New Roman"/>
          <w:sz w:val="28"/>
          <w:szCs w:val="28"/>
        </w:rPr>
        <w:t>проєктну</w:t>
      </w:r>
      <w:proofErr w:type="spellEnd"/>
      <w:r w:rsidRPr="003E3F69">
        <w:rPr>
          <w:rFonts w:ascii="Times New Roman" w:hAnsi="Times New Roman" w:cs="Times New Roman"/>
          <w:sz w:val="28"/>
          <w:szCs w:val="28"/>
        </w:rPr>
        <w:t xml:space="preserve"> </w:t>
      </w:r>
      <w:r w:rsidR="00E20A55" w:rsidRPr="003E3F69">
        <w:rPr>
          <w:rFonts w:ascii="Times New Roman" w:hAnsi="Times New Roman" w:cs="Times New Roman"/>
          <w:sz w:val="28"/>
          <w:szCs w:val="28"/>
        </w:rPr>
        <w:t xml:space="preserve">(інвестиційну) </w:t>
      </w:r>
      <w:r w:rsidRPr="003E3F69">
        <w:rPr>
          <w:rFonts w:ascii="Times New Roman" w:hAnsi="Times New Roman" w:cs="Times New Roman"/>
          <w:sz w:val="28"/>
          <w:szCs w:val="28"/>
        </w:rPr>
        <w:t>діяльність.</w:t>
      </w:r>
    </w:p>
    <w:p w14:paraId="72D5B5A1" w14:textId="3977B85C" w:rsidR="00E52227" w:rsidRPr="003E3F69" w:rsidRDefault="0050787E" w:rsidP="0050787E">
      <w:pPr>
        <w:widowControl w:val="0"/>
        <w:spacing w:after="0" w:line="360" w:lineRule="auto"/>
        <w:jc w:val="right"/>
        <w:rPr>
          <w:rFonts w:ascii="Times New Roman" w:hAnsi="Times New Roman" w:cs="Times New Roman"/>
          <w:sz w:val="28"/>
          <w:szCs w:val="28"/>
        </w:rPr>
      </w:pPr>
      <w:r w:rsidRPr="003E3F69">
        <w:rPr>
          <w:rFonts w:ascii="Times New Roman" w:hAnsi="Times New Roman" w:cs="Times New Roman"/>
          <w:sz w:val="28"/>
          <w:szCs w:val="28"/>
        </w:rPr>
        <w:t>Таблиця 1</w:t>
      </w:r>
    </w:p>
    <w:p w14:paraId="2FED809C" w14:textId="0D283B95" w:rsidR="0050787E" w:rsidRPr="003E3F69" w:rsidRDefault="0050787E" w:rsidP="0050787E">
      <w:pPr>
        <w:widowControl w:val="0"/>
        <w:spacing w:after="0" w:line="360" w:lineRule="auto"/>
        <w:jc w:val="center"/>
        <w:rPr>
          <w:rFonts w:ascii="Times New Roman" w:hAnsi="Times New Roman" w:cs="Times New Roman"/>
          <w:sz w:val="28"/>
          <w:szCs w:val="28"/>
        </w:rPr>
      </w:pPr>
      <w:r w:rsidRPr="003E3F69">
        <w:rPr>
          <w:rFonts w:ascii="Times New Roman" w:hAnsi="Times New Roman" w:cs="Times New Roman"/>
          <w:sz w:val="28"/>
          <w:szCs w:val="28"/>
        </w:rPr>
        <w:t xml:space="preserve">Динаміка основних фінансових показників діяльності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за 2021–2025 рр., тис. грн</w:t>
      </w:r>
    </w:p>
    <w:tbl>
      <w:tblPr>
        <w:tblW w:w="9634" w:type="dxa"/>
        <w:tblLook w:val="04A0" w:firstRow="1" w:lastRow="0" w:firstColumn="1" w:lastColumn="0" w:noHBand="0" w:noVBand="1"/>
      </w:tblPr>
      <w:tblGrid>
        <w:gridCol w:w="2291"/>
        <w:gridCol w:w="911"/>
        <w:gridCol w:w="971"/>
        <w:gridCol w:w="971"/>
        <w:gridCol w:w="840"/>
        <w:gridCol w:w="947"/>
        <w:gridCol w:w="1407"/>
        <w:gridCol w:w="1296"/>
      </w:tblGrid>
      <w:tr w:rsidR="0050787E" w:rsidRPr="003E3F69" w14:paraId="0931F303" w14:textId="77777777" w:rsidTr="00D1117D">
        <w:trPr>
          <w:trHeight w:val="828"/>
        </w:trPr>
        <w:tc>
          <w:tcPr>
            <w:tcW w:w="2329" w:type="dxa"/>
            <w:tcBorders>
              <w:top w:val="single" w:sz="4" w:space="0" w:color="auto"/>
              <w:left w:val="single" w:sz="4" w:space="0" w:color="auto"/>
              <w:bottom w:val="single" w:sz="4" w:space="0" w:color="auto"/>
              <w:right w:val="single" w:sz="4" w:space="0" w:color="auto"/>
            </w:tcBorders>
            <w:vAlign w:val="center"/>
            <w:hideMark/>
          </w:tcPr>
          <w:p w14:paraId="48A60D44"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Показник</w:t>
            </w:r>
          </w:p>
        </w:tc>
        <w:tc>
          <w:tcPr>
            <w:tcW w:w="927" w:type="dxa"/>
            <w:tcBorders>
              <w:top w:val="single" w:sz="4" w:space="0" w:color="auto"/>
              <w:left w:val="nil"/>
              <w:bottom w:val="single" w:sz="4" w:space="0" w:color="auto"/>
              <w:right w:val="single" w:sz="4" w:space="0" w:color="auto"/>
            </w:tcBorders>
            <w:vAlign w:val="center"/>
            <w:hideMark/>
          </w:tcPr>
          <w:p w14:paraId="2557C724"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2021</w:t>
            </w:r>
          </w:p>
        </w:tc>
        <w:tc>
          <w:tcPr>
            <w:tcW w:w="992" w:type="dxa"/>
            <w:tcBorders>
              <w:top w:val="single" w:sz="4" w:space="0" w:color="auto"/>
              <w:left w:val="nil"/>
              <w:bottom w:val="single" w:sz="4" w:space="0" w:color="auto"/>
              <w:right w:val="single" w:sz="4" w:space="0" w:color="auto"/>
            </w:tcBorders>
            <w:vAlign w:val="center"/>
            <w:hideMark/>
          </w:tcPr>
          <w:p w14:paraId="337F76F6"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2022</w:t>
            </w:r>
          </w:p>
        </w:tc>
        <w:tc>
          <w:tcPr>
            <w:tcW w:w="992" w:type="dxa"/>
            <w:tcBorders>
              <w:top w:val="single" w:sz="4" w:space="0" w:color="auto"/>
              <w:left w:val="nil"/>
              <w:bottom w:val="single" w:sz="4" w:space="0" w:color="auto"/>
              <w:right w:val="single" w:sz="4" w:space="0" w:color="auto"/>
            </w:tcBorders>
            <w:vAlign w:val="center"/>
            <w:hideMark/>
          </w:tcPr>
          <w:p w14:paraId="3C038EC3"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2023</w:t>
            </w:r>
          </w:p>
        </w:tc>
        <w:tc>
          <w:tcPr>
            <w:tcW w:w="851" w:type="dxa"/>
            <w:tcBorders>
              <w:top w:val="single" w:sz="4" w:space="0" w:color="auto"/>
              <w:left w:val="nil"/>
              <w:bottom w:val="single" w:sz="4" w:space="0" w:color="auto"/>
              <w:right w:val="single" w:sz="4" w:space="0" w:color="auto"/>
            </w:tcBorders>
            <w:vAlign w:val="center"/>
            <w:hideMark/>
          </w:tcPr>
          <w:p w14:paraId="6F88AF0C"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2024</w:t>
            </w:r>
          </w:p>
        </w:tc>
        <w:tc>
          <w:tcPr>
            <w:tcW w:w="965" w:type="dxa"/>
            <w:tcBorders>
              <w:top w:val="single" w:sz="4" w:space="0" w:color="auto"/>
              <w:left w:val="nil"/>
              <w:bottom w:val="single" w:sz="4" w:space="0" w:color="auto"/>
              <w:right w:val="single" w:sz="4" w:space="0" w:color="auto"/>
            </w:tcBorders>
            <w:vAlign w:val="center"/>
            <w:hideMark/>
          </w:tcPr>
          <w:p w14:paraId="69B041E3"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 xml:space="preserve">І </w:t>
            </w:r>
            <w:proofErr w:type="spellStart"/>
            <w:r w:rsidRPr="003E3F69">
              <w:rPr>
                <w:rFonts w:ascii="Times New Roman" w:eastAsia="Times New Roman" w:hAnsi="Times New Roman" w:cs="Times New Roman"/>
                <w:color w:val="000000"/>
                <w:kern w:val="0"/>
                <w:sz w:val="24"/>
                <w:szCs w:val="24"/>
                <w:lang w:eastAsia="uk-UA"/>
                <w14:ligatures w14:val="none"/>
              </w:rPr>
              <w:t>півр</w:t>
            </w:r>
            <w:proofErr w:type="spellEnd"/>
            <w:r w:rsidRPr="003E3F69">
              <w:rPr>
                <w:rFonts w:ascii="Times New Roman" w:eastAsia="Times New Roman" w:hAnsi="Times New Roman" w:cs="Times New Roman"/>
                <w:color w:val="000000"/>
                <w:kern w:val="0"/>
                <w:sz w:val="24"/>
                <w:szCs w:val="24"/>
                <w:lang w:eastAsia="uk-UA"/>
                <w14:ligatures w14:val="none"/>
              </w:rPr>
              <w:t>. 2025</w:t>
            </w:r>
          </w:p>
        </w:tc>
        <w:tc>
          <w:tcPr>
            <w:tcW w:w="1308" w:type="dxa"/>
            <w:tcBorders>
              <w:top w:val="single" w:sz="4" w:space="0" w:color="auto"/>
              <w:left w:val="nil"/>
              <w:bottom w:val="single" w:sz="4" w:space="0" w:color="auto"/>
              <w:right w:val="single" w:sz="4" w:space="0" w:color="auto"/>
            </w:tcBorders>
            <w:vAlign w:val="center"/>
            <w:hideMark/>
          </w:tcPr>
          <w:p w14:paraId="29DC9C46"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Відхилення 2025/2021 (+/–)</w:t>
            </w:r>
          </w:p>
        </w:tc>
        <w:tc>
          <w:tcPr>
            <w:tcW w:w="1270" w:type="dxa"/>
            <w:tcBorders>
              <w:top w:val="single" w:sz="4" w:space="0" w:color="auto"/>
              <w:left w:val="nil"/>
              <w:bottom w:val="single" w:sz="4" w:space="0" w:color="auto"/>
              <w:right w:val="single" w:sz="4" w:space="0" w:color="auto"/>
            </w:tcBorders>
            <w:vAlign w:val="center"/>
            <w:hideMark/>
          </w:tcPr>
          <w:p w14:paraId="0F63F81C" w14:textId="77777777" w:rsidR="0050787E" w:rsidRPr="003E3F69" w:rsidRDefault="0050787E" w:rsidP="0050787E">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Темп зростання, %</w:t>
            </w:r>
          </w:p>
        </w:tc>
      </w:tr>
      <w:tr w:rsidR="0050787E" w:rsidRPr="003E3F69" w14:paraId="7D219CFB"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5C446D57"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Валюта балансу, тис. грн</w:t>
            </w:r>
          </w:p>
        </w:tc>
        <w:tc>
          <w:tcPr>
            <w:tcW w:w="927" w:type="dxa"/>
            <w:tcBorders>
              <w:top w:val="nil"/>
              <w:left w:val="nil"/>
              <w:bottom w:val="single" w:sz="4" w:space="0" w:color="auto"/>
              <w:right w:val="single" w:sz="4" w:space="0" w:color="auto"/>
            </w:tcBorders>
            <w:vAlign w:val="center"/>
            <w:hideMark/>
          </w:tcPr>
          <w:p w14:paraId="482385BC"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10 420</w:t>
            </w:r>
          </w:p>
        </w:tc>
        <w:tc>
          <w:tcPr>
            <w:tcW w:w="992" w:type="dxa"/>
            <w:tcBorders>
              <w:top w:val="nil"/>
              <w:left w:val="nil"/>
              <w:bottom w:val="single" w:sz="4" w:space="0" w:color="auto"/>
              <w:right w:val="single" w:sz="4" w:space="0" w:color="auto"/>
            </w:tcBorders>
            <w:vAlign w:val="center"/>
            <w:hideMark/>
          </w:tcPr>
          <w:p w14:paraId="15CE630D"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11 560</w:t>
            </w:r>
          </w:p>
        </w:tc>
        <w:tc>
          <w:tcPr>
            <w:tcW w:w="992" w:type="dxa"/>
            <w:tcBorders>
              <w:top w:val="nil"/>
              <w:left w:val="nil"/>
              <w:bottom w:val="single" w:sz="4" w:space="0" w:color="auto"/>
              <w:right w:val="single" w:sz="4" w:space="0" w:color="auto"/>
            </w:tcBorders>
            <w:vAlign w:val="center"/>
            <w:hideMark/>
          </w:tcPr>
          <w:p w14:paraId="29BAB6D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13 480</w:t>
            </w:r>
          </w:p>
        </w:tc>
        <w:tc>
          <w:tcPr>
            <w:tcW w:w="851" w:type="dxa"/>
            <w:tcBorders>
              <w:top w:val="nil"/>
              <w:left w:val="nil"/>
              <w:bottom w:val="single" w:sz="4" w:space="0" w:color="auto"/>
              <w:right w:val="single" w:sz="4" w:space="0" w:color="auto"/>
            </w:tcBorders>
            <w:vAlign w:val="center"/>
            <w:hideMark/>
          </w:tcPr>
          <w:p w14:paraId="7B0492F7"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15 230</w:t>
            </w:r>
          </w:p>
        </w:tc>
        <w:tc>
          <w:tcPr>
            <w:tcW w:w="965" w:type="dxa"/>
            <w:tcBorders>
              <w:top w:val="nil"/>
              <w:left w:val="nil"/>
              <w:bottom w:val="single" w:sz="4" w:space="0" w:color="auto"/>
              <w:right w:val="single" w:sz="4" w:space="0" w:color="auto"/>
            </w:tcBorders>
            <w:vAlign w:val="center"/>
            <w:hideMark/>
          </w:tcPr>
          <w:p w14:paraId="79871785"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16 540</w:t>
            </w:r>
          </w:p>
        </w:tc>
        <w:tc>
          <w:tcPr>
            <w:tcW w:w="1308" w:type="dxa"/>
            <w:tcBorders>
              <w:top w:val="nil"/>
              <w:left w:val="nil"/>
              <w:bottom w:val="single" w:sz="4" w:space="0" w:color="auto"/>
              <w:right w:val="single" w:sz="4" w:space="0" w:color="auto"/>
            </w:tcBorders>
            <w:vAlign w:val="center"/>
            <w:hideMark/>
          </w:tcPr>
          <w:p w14:paraId="4E9E4B04"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6 120</w:t>
            </w:r>
          </w:p>
        </w:tc>
        <w:tc>
          <w:tcPr>
            <w:tcW w:w="1270" w:type="dxa"/>
            <w:tcBorders>
              <w:top w:val="nil"/>
              <w:left w:val="nil"/>
              <w:bottom w:val="single" w:sz="4" w:space="0" w:color="auto"/>
              <w:right w:val="single" w:sz="4" w:space="0" w:color="auto"/>
            </w:tcBorders>
            <w:vAlign w:val="center"/>
            <w:hideMark/>
          </w:tcPr>
          <w:p w14:paraId="29B0C27A"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158,7</w:t>
            </w:r>
          </w:p>
        </w:tc>
      </w:tr>
      <w:tr w:rsidR="0050787E" w:rsidRPr="003E3F69" w14:paraId="0DDD0342"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0D904126"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Власний капітал, тис. грн</w:t>
            </w:r>
          </w:p>
        </w:tc>
        <w:tc>
          <w:tcPr>
            <w:tcW w:w="927" w:type="dxa"/>
            <w:tcBorders>
              <w:top w:val="nil"/>
              <w:left w:val="nil"/>
              <w:bottom w:val="single" w:sz="4" w:space="0" w:color="auto"/>
              <w:right w:val="single" w:sz="4" w:space="0" w:color="auto"/>
            </w:tcBorders>
            <w:vAlign w:val="center"/>
            <w:hideMark/>
          </w:tcPr>
          <w:p w14:paraId="721FFAEF"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5 760</w:t>
            </w:r>
          </w:p>
        </w:tc>
        <w:tc>
          <w:tcPr>
            <w:tcW w:w="992" w:type="dxa"/>
            <w:tcBorders>
              <w:top w:val="nil"/>
              <w:left w:val="nil"/>
              <w:bottom w:val="single" w:sz="4" w:space="0" w:color="auto"/>
              <w:right w:val="single" w:sz="4" w:space="0" w:color="auto"/>
            </w:tcBorders>
            <w:vAlign w:val="center"/>
            <w:hideMark/>
          </w:tcPr>
          <w:p w14:paraId="4FEAA280"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5 900</w:t>
            </w:r>
          </w:p>
        </w:tc>
        <w:tc>
          <w:tcPr>
            <w:tcW w:w="992" w:type="dxa"/>
            <w:tcBorders>
              <w:top w:val="nil"/>
              <w:left w:val="nil"/>
              <w:bottom w:val="single" w:sz="4" w:space="0" w:color="auto"/>
              <w:right w:val="single" w:sz="4" w:space="0" w:color="auto"/>
            </w:tcBorders>
            <w:vAlign w:val="center"/>
            <w:hideMark/>
          </w:tcPr>
          <w:p w14:paraId="7768F61E"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6 380</w:t>
            </w:r>
          </w:p>
        </w:tc>
        <w:tc>
          <w:tcPr>
            <w:tcW w:w="851" w:type="dxa"/>
            <w:tcBorders>
              <w:top w:val="nil"/>
              <w:left w:val="nil"/>
              <w:bottom w:val="single" w:sz="4" w:space="0" w:color="auto"/>
              <w:right w:val="single" w:sz="4" w:space="0" w:color="auto"/>
            </w:tcBorders>
            <w:vAlign w:val="center"/>
            <w:hideMark/>
          </w:tcPr>
          <w:p w14:paraId="10B6D32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7 150</w:t>
            </w:r>
          </w:p>
        </w:tc>
        <w:tc>
          <w:tcPr>
            <w:tcW w:w="965" w:type="dxa"/>
            <w:tcBorders>
              <w:top w:val="nil"/>
              <w:left w:val="nil"/>
              <w:bottom w:val="single" w:sz="4" w:space="0" w:color="auto"/>
              <w:right w:val="single" w:sz="4" w:space="0" w:color="auto"/>
            </w:tcBorders>
            <w:vAlign w:val="center"/>
            <w:hideMark/>
          </w:tcPr>
          <w:p w14:paraId="50CEB177"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7 850</w:t>
            </w:r>
          </w:p>
        </w:tc>
        <w:tc>
          <w:tcPr>
            <w:tcW w:w="1308" w:type="dxa"/>
            <w:tcBorders>
              <w:top w:val="nil"/>
              <w:left w:val="nil"/>
              <w:bottom w:val="single" w:sz="4" w:space="0" w:color="auto"/>
              <w:right w:val="single" w:sz="4" w:space="0" w:color="auto"/>
            </w:tcBorders>
            <w:vAlign w:val="center"/>
            <w:hideMark/>
          </w:tcPr>
          <w:p w14:paraId="247B149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2 090</w:t>
            </w:r>
          </w:p>
        </w:tc>
        <w:tc>
          <w:tcPr>
            <w:tcW w:w="1270" w:type="dxa"/>
            <w:tcBorders>
              <w:top w:val="nil"/>
              <w:left w:val="nil"/>
              <w:bottom w:val="single" w:sz="4" w:space="0" w:color="auto"/>
              <w:right w:val="single" w:sz="4" w:space="0" w:color="auto"/>
            </w:tcBorders>
            <w:vAlign w:val="center"/>
            <w:hideMark/>
          </w:tcPr>
          <w:p w14:paraId="20D105EC"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136,3</w:t>
            </w:r>
          </w:p>
        </w:tc>
      </w:tr>
      <w:tr w:rsidR="0050787E" w:rsidRPr="003E3F69" w14:paraId="3BE79702"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72D2AA41"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Поточні зобов’язання, тис. грн</w:t>
            </w:r>
          </w:p>
        </w:tc>
        <w:tc>
          <w:tcPr>
            <w:tcW w:w="927" w:type="dxa"/>
            <w:tcBorders>
              <w:top w:val="nil"/>
              <w:left w:val="nil"/>
              <w:bottom w:val="single" w:sz="4" w:space="0" w:color="auto"/>
              <w:right w:val="single" w:sz="4" w:space="0" w:color="auto"/>
            </w:tcBorders>
            <w:vAlign w:val="center"/>
            <w:hideMark/>
          </w:tcPr>
          <w:p w14:paraId="16DA710F"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4 200</w:t>
            </w:r>
          </w:p>
        </w:tc>
        <w:tc>
          <w:tcPr>
            <w:tcW w:w="992" w:type="dxa"/>
            <w:tcBorders>
              <w:top w:val="nil"/>
              <w:left w:val="nil"/>
              <w:bottom w:val="single" w:sz="4" w:space="0" w:color="auto"/>
              <w:right w:val="single" w:sz="4" w:space="0" w:color="auto"/>
            </w:tcBorders>
            <w:vAlign w:val="center"/>
            <w:hideMark/>
          </w:tcPr>
          <w:p w14:paraId="55300039"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4 950</w:t>
            </w:r>
          </w:p>
        </w:tc>
        <w:tc>
          <w:tcPr>
            <w:tcW w:w="992" w:type="dxa"/>
            <w:tcBorders>
              <w:top w:val="nil"/>
              <w:left w:val="nil"/>
              <w:bottom w:val="single" w:sz="4" w:space="0" w:color="auto"/>
              <w:right w:val="single" w:sz="4" w:space="0" w:color="auto"/>
            </w:tcBorders>
            <w:vAlign w:val="center"/>
            <w:hideMark/>
          </w:tcPr>
          <w:p w14:paraId="2D857841"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5 760</w:t>
            </w:r>
          </w:p>
        </w:tc>
        <w:tc>
          <w:tcPr>
            <w:tcW w:w="851" w:type="dxa"/>
            <w:tcBorders>
              <w:top w:val="nil"/>
              <w:left w:val="nil"/>
              <w:bottom w:val="single" w:sz="4" w:space="0" w:color="auto"/>
              <w:right w:val="single" w:sz="4" w:space="0" w:color="auto"/>
            </w:tcBorders>
            <w:vAlign w:val="center"/>
            <w:hideMark/>
          </w:tcPr>
          <w:p w14:paraId="74631E84"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6 420</w:t>
            </w:r>
          </w:p>
        </w:tc>
        <w:tc>
          <w:tcPr>
            <w:tcW w:w="965" w:type="dxa"/>
            <w:tcBorders>
              <w:top w:val="nil"/>
              <w:left w:val="nil"/>
              <w:bottom w:val="single" w:sz="4" w:space="0" w:color="auto"/>
              <w:right w:val="single" w:sz="4" w:space="0" w:color="auto"/>
            </w:tcBorders>
            <w:vAlign w:val="center"/>
            <w:hideMark/>
          </w:tcPr>
          <w:p w14:paraId="1996A40B"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6 980</w:t>
            </w:r>
          </w:p>
        </w:tc>
        <w:tc>
          <w:tcPr>
            <w:tcW w:w="1308" w:type="dxa"/>
            <w:tcBorders>
              <w:top w:val="nil"/>
              <w:left w:val="nil"/>
              <w:bottom w:val="single" w:sz="4" w:space="0" w:color="auto"/>
              <w:right w:val="single" w:sz="4" w:space="0" w:color="auto"/>
            </w:tcBorders>
            <w:vAlign w:val="center"/>
            <w:hideMark/>
          </w:tcPr>
          <w:p w14:paraId="431FF7AA"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2 780</w:t>
            </w:r>
          </w:p>
        </w:tc>
        <w:tc>
          <w:tcPr>
            <w:tcW w:w="1270" w:type="dxa"/>
            <w:tcBorders>
              <w:top w:val="nil"/>
              <w:left w:val="nil"/>
              <w:bottom w:val="single" w:sz="4" w:space="0" w:color="auto"/>
              <w:right w:val="single" w:sz="4" w:space="0" w:color="auto"/>
            </w:tcBorders>
            <w:vAlign w:val="center"/>
            <w:hideMark/>
          </w:tcPr>
          <w:p w14:paraId="3C6CFB0B"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166,2</w:t>
            </w:r>
          </w:p>
        </w:tc>
      </w:tr>
      <w:tr w:rsidR="0050787E" w:rsidRPr="003E3F69" w14:paraId="3CB7C3FD"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3E99028A"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Оборотні активи, тис. грн</w:t>
            </w:r>
          </w:p>
        </w:tc>
        <w:tc>
          <w:tcPr>
            <w:tcW w:w="927" w:type="dxa"/>
            <w:tcBorders>
              <w:top w:val="nil"/>
              <w:left w:val="nil"/>
              <w:bottom w:val="single" w:sz="4" w:space="0" w:color="auto"/>
              <w:right w:val="single" w:sz="4" w:space="0" w:color="auto"/>
            </w:tcBorders>
            <w:vAlign w:val="center"/>
            <w:hideMark/>
          </w:tcPr>
          <w:p w14:paraId="0F0347AB"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5 180</w:t>
            </w:r>
          </w:p>
        </w:tc>
        <w:tc>
          <w:tcPr>
            <w:tcW w:w="992" w:type="dxa"/>
            <w:tcBorders>
              <w:top w:val="nil"/>
              <w:left w:val="nil"/>
              <w:bottom w:val="single" w:sz="4" w:space="0" w:color="auto"/>
              <w:right w:val="single" w:sz="4" w:space="0" w:color="auto"/>
            </w:tcBorders>
            <w:vAlign w:val="center"/>
            <w:hideMark/>
          </w:tcPr>
          <w:p w14:paraId="0BE1354E"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5 760</w:t>
            </w:r>
          </w:p>
        </w:tc>
        <w:tc>
          <w:tcPr>
            <w:tcW w:w="992" w:type="dxa"/>
            <w:tcBorders>
              <w:top w:val="nil"/>
              <w:left w:val="nil"/>
              <w:bottom w:val="single" w:sz="4" w:space="0" w:color="auto"/>
              <w:right w:val="single" w:sz="4" w:space="0" w:color="auto"/>
            </w:tcBorders>
            <w:vAlign w:val="center"/>
            <w:hideMark/>
          </w:tcPr>
          <w:p w14:paraId="59C69E11"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6 950</w:t>
            </w:r>
          </w:p>
        </w:tc>
        <w:tc>
          <w:tcPr>
            <w:tcW w:w="851" w:type="dxa"/>
            <w:tcBorders>
              <w:top w:val="nil"/>
              <w:left w:val="nil"/>
              <w:bottom w:val="single" w:sz="4" w:space="0" w:color="auto"/>
              <w:right w:val="single" w:sz="4" w:space="0" w:color="auto"/>
            </w:tcBorders>
            <w:vAlign w:val="center"/>
            <w:hideMark/>
          </w:tcPr>
          <w:p w14:paraId="33AADCE0"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8 150</w:t>
            </w:r>
          </w:p>
        </w:tc>
        <w:tc>
          <w:tcPr>
            <w:tcW w:w="965" w:type="dxa"/>
            <w:tcBorders>
              <w:top w:val="nil"/>
              <w:left w:val="nil"/>
              <w:bottom w:val="single" w:sz="4" w:space="0" w:color="auto"/>
              <w:right w:val="single" w:sz="4" w:space="0" w:color="auto"/>
            </w:tcBorders>
            <w:vAlign w:val="center"/>
            <w:hideMark/>
          </w:tcPr>
          <w:p w14:paraId="3CE84A07"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9 420</w:t>
            </w:r>
          </w:p>
        </w:tc>
        <w:tc>
          <w:tcPr>
            <w:tcW w:w="1308" w:type="dxa"/>
            <w:tcBorders>
              <w:top w:val="nil"/>
              <w:left w:val="nil"/>
              <w:bottom w:val="single" w:sz="4" w:space="0" w:color="auto"/>
              <w:right w:val="single" w:sz="4" w:space="0" w:color="auto"/>
            </w:tcBorders>
            <w:vAlign w:val="center"/>
            <w:hideMark/>
          </w:tcPr>
          <w:p w14:paraId="366CC16A"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4 240</w:t>
            </w:r>
          </w:p>
        </w:tc>
        <w:tc>
          <w:tcPr>
            <w:tcW w:w="1270" w:type="dxa"/>
            <w:tcBorders>
              <w:top w:val="nil"/>
              <w:left w:val="nil"/>
              <w:bottom w:val="single" w:sz="4" w:space="0" w:color="auto"/>
              <w:right w:val="single" w:sz="4" w:space="0" w:color="auto"/>
            </w:tcBorders>
            <w:vAlign w:val="center"/>
            <w:hideMark/>
          </w:tcPr>
          <w:p w14:paraId="0544D54E"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181,8</w:t>
            </w:r>
          </w:p>
        </w:tc>
      </w:tr>
      <w:tr w:rsidR="0050787E" w:rsidRPr="003E3F69" w14:paraId="3D5CA551"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70E692A7"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Грошові кошти, тис. грн</w:t>
            </w:r>
          </w:p>
        </w:tc>
        <w:tc>
          <w:tcPr>
            <w:tcW w:w="927" w:type="dxa"/>
            <w:tcBorders>
              <w:top w:val="nil"/>
              <w:left w:val="nil"/>
              <w:bottom w:val="single" w:sz="4" w:space="0" w:color="auto"/>
              <w:right w:val="single" w:sz="4" w:space="0" w:color="auto"/>
            </w:tcBorders>
            <w:vAlign w:val="center"/>
            <w:hideMark/>
          </w:tcPr>
          <w:p w14:paraId="5895176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720</w:t>
            </w:r>
          </w:p>
        </w:tc>
        <w:tc>
          <w:tcPr>
            <w:tcW w:w="992" w:type="dxa"/>
            <w:tcBorders>
              <w:top w:val="nil"/>
              <w:left w:val="nil"/>
              <w:bottom w:val="single" w:sz="4" w:space="0" w:color="auto"/>
              <w:right w:val="single" w:sz="4" w:space="0" w:color="auto"/>
            </w:tcBorders>
            <w:vAlign w:val="center"/>
            <w:hideMark/>
          </w:tcPr>
          <w:p w14:paraId="6AAF2194"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690</w:t>
            </w:r>
          </w:p>
        </w:tc>
        <w:tc>
          <w:tcPr>
            <w:tcW w:w="992" w:type="dxa"/>
            <w:tcBorders>
              <w:top w:val="nil"/>
              <w:left w:val="nil"/>
              <w:bottom w:val="single" w:sz="4" w:space="0" w:color="auto"/>
              <w:right w:val="single" w:sz="4" w:space="0" w:color="auto"/>
            </w:tcBorders>
            <w:vAlign w:val="center"/>
            <w:hideMark/>
          </w:tcPr>
          <w:p w14:paraId="5BA82B31"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890</w:t>
            </w:r>
          </w:p>
        </w:tc>
        <w:tc>
          <w:tcPr>
            <w:tcW w:w="851" w:type="dxa"/>
            <w:tcBorders>
              <w:top w:val="nil"/>
              <w:left w:val="nil"/>
              <w:bottom w:val="single" w:sz="4" w:space="0" w:color="auto"/>
              <w:right w:val="single" w:sz="4" w:space="0" w:color="auto"/>
            </w:tcBorders>
            <w:vAlign w:val="center"/>
            <w:hideMark/>
          </w:tcPr>
          <w:p w14:paraId="5D8DDD60"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1 250</w:t>
            </w:r>
          </w:p>
        </w:tc>
        <w:tc>
          <w:tcPr>
            <w:tcW w:w="965" w:type="dxa"/>
            <w:tcBorders>
              <w:top w:val="nil"/>
              <w:left w:val="nil"/>
              <w:bottom w:val="single" w:sz="4" w:space="0" w:color="auto"/>
              <w:right w:val="single" w:sz="4" w:space="0" w:color="auto"/>
            </w:tcBorders>
            <w:vAlign w:val="center"/>
            <w:hideMark/>
          </w:tcPr>
          <w:p w14:paraId="26729F44"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1 630</w:t>
            </w:r>
          </w:p>
        </w:tc>
        <w:tc>
          <w:tcPr>
            <w:tcW w:w="1308" w:type="dxa"/>
            <w:tcBorders>
              <w:top w:val="nil"/>
              <w:left w:val="nil"/>
              <w:bottom w:val="single" w:sz="4" w:space="0" w:color="auto"/>
              <w:right w:val="single" w:sz="4" w:space="0" w:color="auto"/>
            </w:tcBorders>
            <w:vAlign w:val="center"/>
            <w:hideMark/>
          </w:tcPr>
          <w:p w14:paraId="1654C30E"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910</w:t>
            </w:r>
          </w:p>
        </w:tc>
        <w:tc>
          <w:tcPr>
            <w:tcW w:w="1270" w:type="dxa"/>
            <w:tcBorders>
              <w:top w:val="nil"/>
              <w:left w:val="nil"/>
              <w:bottom w:val="single" w:sz="4" w:space="0" w:color="auto"/>
              <w:right w:val="single" w:sz="4" w:space="0" w:color="auto"/>
            </w:tcBorders>
            <w:vAlign w:val="center"/>
            <w:hideMark/>
          </w:tcPr>
          <w:p w14:paraId="4CCBB146"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226,4</w:t>
            </w:r>
          </w:p>
        </w:tc>
      </w:tr>
      <w:tr w:rsidR="0050787E" w:rsidRPr="003E3F69" w14:paraId="3BA570C4" w14:textId="77777777" w:rsidTr="00D1117D">
        <w:trPr>
          <w:trHeight w:val="540"/>
        </w:trPr>
        <w:tc>
          <w:tcPr>
            <w:tcW w:w="2329" w:type="dxa"/>
            <w:tcBorders>
              <w:top w:val="nil"/>
              <w:left w:val="single" w:sz="4" w:space="0" w:color="auto"/>
              <w:bottom w:val="single" w:sz="4" w:space="0" w:color="auto"/>
              <w:right w:val="single" w:sz="4" w:space="0" w:color="auto"/>
            </w:tcBorders>
            <w:vAlign w:val="center"/>
            <w:hideMark/>
          </w:tcPr>
          <w:p w14:paraId="263EFAEE" w14:textId="77777777" w:rsidR="0050787E" w:rsidRPr="003E3F69" w:rsidRDefault="0050787E" w:rsidP="0050787E">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Дебіторська заборгованість, тис. грн</w:t>
            </w:r>
          </w:p>
        </w:tc>
        <w:tc>
          <w:tcPr>
            <w:tcW w:w="927" w:type="dxa"/>
            <w:tcBorders>
              <w:top w:val="nil"/>
              <w:left w:val="nil"/>
              <w:bottom w:val="single" w:sz="4" w:space="0" w:color="auto"/>
              <w:right w:val="single" w:sz="4" w:space="0" w:color="auto"/>
            </w:tcBorders>
            <w:vAlign w:val="center"/>
            <w:hideMark/>
          </w:tcPr>
          <w:p w14:paraId="592D4285"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2 080</w:t>
            </w:r>
          </w:p>
        </w:tc>
        <w:tc>
          <w:tcPr>
            <w:tcW w:w="992" w:type="dxa"/>
            <w:tcBorders>
              <w:top w:val="nil"/>
              <w:left w:val="nil"/>
              <w:bottom w:val="single" w:sz="4" w:space="0" w:color="auto"/>
              <w:right w:val="single" w:sz="4" w:space="0" w:color="auto"/>
            </w:tcBorders>
            <w:vAlign w:val="center"/>
            <w:hideMark/>
          </w:tcPr>
          <w:p w14:paraId="385DBBCA"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2 540</w:t>
            </w:r>
          </w:p>
        </w:tc>
        <w:tc>
          <w:tcPr>
            <w:tcW w:w="992" w:type="dxa"/>
            <w:tcBorders>
              <w:top w:val="nil"/>
              <w:left w:val="nil"/>
              <w:bottom w:val="single" w:sz="4" w:space="0" w:color="auto"/>
              <w:right w:val="single" w:sz="4" w:space="0" w:color="auto"/>
            </w:tcBorders>
            <w:vAlign w:val="center"/>
            <w:hideMark/>
          </w:tcPr>
          <w:p w14:paraId="7EF9F531"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2 910</w:t>
            </w:r>
          </w:p>
        </w:tc>
        <w:tc>
          <w:tcPr>
            <w:tcW w:w="851" w:type="dxa"/>
            <w:tcBorders>
              <w:top w:val="nil"/>
              <w:left w:val="nil"/>
              <w:bottom w:val="single" w:sz="4" w:space="0" w:color="auto"/>
              <w:right w:val="single" w:sz="4" w:space="0" w:color="auto"/>
            </w:tcBorders>
            <w:vAlign w:val="center"/>
            <w:hideMark/>
          </w:tcPr>
          <w:p w14:paraId="56405D9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3 470</w:t>
            </w:r>
          </w:p>
        </w:tc>
        <w:tc>
          <w:tcPr>
            <w:tcW w:w="965" w:type="dxa"/>
            <w:tcBorders>
              <w:top w:val="nil"/>
              <w:left w:val="nil"/>
              <w:bottom w:val="single" w:sz="4" w:space="0" w:color="auto"/>
              <w:right w:val="single" w:sz="4" w:space="0" w:color="auto"/>
            </w:tcBorders>
            <w:vAlign w:val="center"/>
            <w:hideMark/>
          </w:tcPr>
          <w:p w14:paraId="7E52A525"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3 950</w:t>
            </w:r>
          </w:p>
        </w:tc>
        <w:tc>
          <w:tcPr>
            <w:tcW w:w="1308" w:type="dxa"/>
            <w:tcBorders>
              <w:top w:val="nil"/>
              <w:left w:val="nil"/>
              <w:bottom w:val="single" w:sz="4" w:space="0" w:color="auto"/>
              <w:right w:val="single" w:sz="4" w:space="0" w:color="auto"/>
            </w:tcBorders>
            <w:vAlign w:val="center"/>
            <w:hideMark/>
          </w:tcPr>
          <w:p w14:paraId="439666FD"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1 870</w:t>
            </w:r>
          </w:p>
        </w:tc>
        <w:tc>
          <w:tcPr>
            <w:tcW w:w="1270" w:type="dxa"/>
            <w:tcBorders>
              <w:top w:val="nil"/>
              <w:left w:val="nil"/>
              <w:bottom w:val="single" w:sz="4" w:space="0" w:color="auto"/>
              <w:right w:val="single" w:sz="4" w:space="0" w:color="auto"/>
            </w:tcBorders>
            <w:vAlign w:val="center"/>
            <w:hideMark/>
          </w:tcPr>
          <w:p w14:paraId="7BF9DD23" w14:textId="77777777" w:rsidR="0050787E" w:rsidRPr="003E3F69" w:rsidRDefault="0050787E" w:rsidP="0050787E">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189,9</w:t>
            </w:r>
          </w:p>
        </w:tc>
      </w:tr>
    </w:tbl>
    <w:p w14:paraId="38643992" w14:textId="30AB71FD" w:rsidR="0050787E" w:rsidRPr="003E3F69" w:rsidRDefault="00E20A55" w:rsidP="00D1117D">
      <w:pPr>
        <w:widowControl w:val="0"/>
        <w:spacing w:after="0" w:line="360" w:lineRule="auto"/>
        <w:rPr>
          <w:rFonts w:ascii="Times New Roman" w:hAnsi="Times New Roman" w:cs="Times New Roman"/>
          <w:sz w:val="24"/>
          <w:szCs w:val="24"/>
        </w:rPr>
      </w:pPr>
      <w:r w:rsidRPr="003E3F69">
        <w:rPr>
          <w:rFonts w:ascii="Times New Roman" w:hAnsi="Times New Roman" w:cs="Times New Roman"/>
          <w:sz w:val="24"/>
          <w:szCs w:val="24"/>
        </w:rPr>
        <w:t>*</w:t>
      </w:r>
      <w:r w:rsidR="00D1117D" w:rsidRPr="003E3F69">
        <w:rPr>
          <w:rFonts w:ascii="Times New Roman" w:hAnsi="Times New Roman" w:cs="Times New Roman"/>
          <w:sz w:val="24"/>
          <w:szCs w:val="24"/>
        </w:rPr>
        <w:t>Джерело: складено автор</w:t>
      </w:r>
      <w:r w:rsidRPr="003E3F69">
        <w:rPr>
          <w:rFonts w:ascii="Times New Roman" w:hAnsi="Times New Roman" w:cs="Times New Roman"/>
          <w:sz w:val="24"/>
          <w:szCs w:val="24"/>
        </w:rPr>
        <w:t>ами</w:t>
      </w:r>
      <w:r w:rsidR="00D1117D" w:rsidRPr="003E3F69">
        <w:rPr>
          <w:rFonts w:ascii="Times New Roman" w:hAnsi="Times New Roman" w:cs="Times New Roman"/>
          <w:sz w:val="24"/>
          <w:szCs w:val="24"/>
        </w:rPr>
        <w:t xml:space="preserve"> на основі фінансової звітності підприємства.</w:t>
      </w:r>
    </w:p>
    <w:p w14:paraId="4C3DF6E6" w14:textId="77777777" w:rsidR="00846DC2" w:rsidRPr="003E3F69" w:rsidRDefault="00846DC2" w:rsidP="00846DC2">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Для оцінки платоспроможності підприємства та визначення тенденцій зміни його фінансової стійкості розглянемо динаміку основних коефіцієнтів ліквідності за 2021–І півріччя 2025 рр. Вони відображають співвідношення між активами та зобов’язаннями підприємства, визначаючи, наскільки ефективно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управляє своїми ресурсами. Узагальнені результати розрахунків представлено в таблиці 2.</w:t>
      </w:r>
    </w:p>
    <w:p w14:paraId="0035B744" w14:textId="77777777" w:rsidR="00846DC2" w:rsidRPr="003E3F69" w:rsidRDefault="00846DC2" w:rsidP="00846DC2">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Розраховані коефіцієнти ліквідності показали, що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xml:space="preserve">» зберігає позитивну динаміку. Поточна ліквідність зросла з 1,23 у 2021 році до 1,35 у 2025-му, що перевищує мінімально прийнятний рівень. Це означає, що підприємство може самостійно покривати короткострокові зобов’язання </w:t>
      </w:r>
      <w:r w:rsidRPr="003E3F69">
        <w:rPr>
          <w:rFonts w:ascii="Times New Roman" w:hAnsi="Times New Roman" w:cs="Times New Roman"/>
          <w:sz w:val="28"/>
          <w:szCs w:val="28"/>
        </w:rPr>
        <w:lastRenderedPageBreak/>
        <w:t>оборотними активами. Коефіцієнт швидкої ліквідності зріс із 0,67 до 0,80, що вказує на покращення платоспроможності навіть без урахування залишків запасів. Показник автономії коливався в межах 0,47–0,55, тобто підприємство утримує баланс між власними та позиковими джерелами фінансування. Хоча частка власного капіталу дещо знизилася, вона все ще вища за середньогалузевий рівень. Це є підтвердженням того, що фінансова політика компанії залишається стабільною і виваженою (навіть в умовах воєнного стану).</w:t>
      </w:r>
    </w:p>
    <w:p w14:paraId="6B281FE1" w14:textId="20C1C44C" w:rsidR="00D1117D" w:rsidRPr="003E3F69" w:rsidRDefault="00D1117D" w:rsidP="00D1117D">
      <w:pPr>
        <w:widowControl w:val="0"/>
        <w:spacing w:after="0" w:line="360" w:lineRule="auto"/>
        <w:jc w:val="right"/>
        <w:rPr>
          <w:rFonts w:ascii="Times New Roman" w:hAnsi="Times New Roman" w:cs="Times New Roman"/>
          <w:sz w:val="28"/>
          <w:szCs w:val="28"/>
        </w:rPr>
      </w:pPr>
      <w:r w:rsidRPr="003E3F69">
        <w:rPr>
          <w:rFonts w:ascii="Times New Roman" w:hAnsi="Times New Roman" w:cs="Times New Roman"/>
          <w:sz w:val="28"/>
          <w:szCs w:val="28"/>
        </w:rPr>
        <w:t xml:space="preserve"> Таблиця 2</w:t>
      </w:r>
    </w:p>
    <w:p w14:paraId="22CF5744" w14:textId="5B82885C" w:rsidR="00D1117D" w:rsidRPr="003E3F69" w:rsidRDefault="00D1117D" w:rsidP="00D1117D">
      <w:pPr>
        <w:widowControl w:val="0"/>
        <w:spacing w:after="0" w:line="360" w:lineRule="auto"/>
        <w:jc w:val="center"/>
        <w:rPr>
          <w:rFonts w:ascii="Times New Roman" w:hAnsi="Times New Roman" w:cs="Times New Roman"/>
          <w:sz w:val="28"/>
          <w:szCs w:val="28"/>
        </w:rPr>
      </w:pPr>
      <w:r w:rsidRPr="003E3F69">
        <w:rPr>
          <w:rFonts w:ascii="Times New Roman" w:hAnsi="Times New Roman" w:cs="Times New Roman"/>
          <w:sz w:val="28"/>
          <w:szCs w:val="28"/>
        </w:rPr>
        <w:t xml:space="preserve">Розрахунок і динаміка основних коефіцієнтів платоспроможності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у 2021–2025 рр.</w:t>
      </w:r>
    </w:p>
    <w:tbl>
      <w:tblPr>
        <w:tblW w:w="9634" w:type="dxa"/>
        <w:tblLook w:val="04A0" w:firstRow="1" w:lastRow="0" w:firstColumn="1" w:lastColumn="0" w:noHBand="0" w:noVBand="1"/>
      </w:tblPr>
      <w:tblGrid>
        <w:gridCol w:w="1948"/>
        <w:gridCol w:w="962"/>
        <w:gridCol w:w="961"/>
        <w:gridCol w:w="962"/>
        <w:gridCol w:w="961"/>
        <w:gridCol w:w="963"/>
        <w:gridCol w:w="1470"/>
        <w:gridCol w:w="1407"/>
      </w:tblGrid>
      <w:tr w:rsidR="00D1117D" w:rsidRPr="003E3F69" w14:paraId="7050616F" w14:textId="77777777" w:rsidTr="00D1117D">
        <w:trPr>
          <w:trHeight w:val="828"/>
        </w:trPr>
        <w:tc>
          <w:tcPr>
            <w:tcW w:w="1980" w:type="dxa"/>
            <w:tcBorders>
              <w:top w:val="single" w:sz="4" w:space="0" w:color="auto"/>
              <w:left w:val="single" w:sz="4" w:space="0" w:color="auto"/>
              <w:bottom w:val="single" w:sz="4" w:space="0" w:color="auto"/>
              <w:right w:val="single" w:sz="4" w:space="0" w:color="auto"/>
            </w:tcBorders>
            <w:vAlign w:val="center"/>
            <w:hideMark/>
          </w:tcPr>
          <w:p w14:paraId="63CD65B6"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Показник</w:t>
            </w:r>
          </w:p>
        </w:tc>
        <w:tc>
          <w:tcPr>
            <w:tcW w:w="992" w:type="dxa"/>
            <w:tcBorders>
              <w:top w:val="single" w:sz="4" w:space="0" w:color="auto"/>
              <w:left w:val="nil"/>
              <w:bottom w:val="single" w:sz="4" w:space="0" w:color="auto"/>
              <w:right w:val="single" w:sz="4" w:space="0" w:color="auto"/>
            </w:tcBorders>
            <w:vAlign w:val="center"/>
            <w:hideMark/>
          </w:tcPr>
          <w:p w14:paraId="59C3F12D"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2021</w:t>
            </w:r>
          </w:p>
        </w:tc>
        <w:tc>
          <w:tcPr>
            <w:tcW w:w="991" w:type="dxa"/>
            <w:tcBorders>
              <w:top w:val="single" w:sz="4" w:space="0" w:color="auto"/>
              <w:left w:val="nil"/>
              <w:bottom w:val="single" w:sz="4" w:space="0" w:color="auto"/>
              <w:right w:val="single" w:sz="4" w:space="0" w:color="auto"/>
            </w:tcBorders>
            <w:vAlign w:val="center"/>
            <w:hideMark/>
          </w:tcPr>
          <w:p w14:paraId="4D082111"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2022</w:t>
            </w:r>
          </w:p>
        </w:tc>
        <w:tc>
          <w:tcPr>
            <w:tcW w:w="992" w:type="dxa"/>
            <w:tcBorders>
              <w:top w:val="single" w:sz="4" w:space="0" w:color="auto"/>
              <w:left w:val="nil"/>
              <w:bottom w:val="single" w:sz="4" w:space="0" w:color="auto"/>
              <w:right w:val="single" w:sz="4" w:space="0" w:color="auto"/>
            </w:tcBorders>
            <w:vAlign w:val="center"/>
            <w:hideMark/>
          </w:tcPr>
          <w:p w14:paraId="4BE95B39"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2023</w:t>
            </w:r>
          </w:p>
        </w:tc>
        <w:tc>
          <w:tcPr>
            <w:tcW w:w="991" w:type="dxa"/>
            <w:tcBorders>
              <w:top w:val="single" w:sz="4" w:space="0" w:color="auto"/>
              <w:left w:val="nil"/>
              <w:bottom w:val="single" w:sz="4" w:space="0" w:color="auto"/>
              <w:right w:val="single" w:sz="4" w:space="0" w:color="auto"/>
            </w:tcBorders>
            <w:vAlign w:val="center"/>
            <w:hideMark/>
          </w:tcPr>
          <w:p w14:paraId="525D6F93"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2024</w:t>
            </w:r>
          </w:p>
        </w:tc>
        <w:tc>
          <w:tcPr>
            <w:tcW w:w="992" w:type="dxa"/>
            <w:tcBorders>
              <w:top w:val="single" w:sz="4" w:space="0" w:color="auto"/>
              <w:left w:val="nil"/>
              <w:bottom w:val="single" w:sz="4" w:space="0" w:color="auto"/>
              <w:right w:val="single" w:sz="4" w:space="0" w:color="auto"/>
            </w:tcBorders>
            <w:vAlign w:val="center"/>
            <w:hideMark/>
          </w:tcPr>
          <w:p w14:paraId="658E3A62"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 xml:space="preserve">І </w:t>
            </w:r>
            <w:proofErr w:type="spellStart"/>
            <w:r w:rsidRPr="003E3F69">
              <w:rPr>
                <w:rFonts w:ascii="Times New Roman" w:eastAsia="Times New Roman" w:hAnsi="Times New Roman" w:cs="Times New Roman"/>
                <w:color w:val="000000"/>
                <w:kern w:val="0"/>
                <w:sz w:val="24"/>
                <w:szCs w:val="24"/>
                <w:lang w:eastAsia="uk-UA"/>
                <w14:ligatures w14:val="none"/>
              </w:rPr>
              <w:t>півр</w:t>
            </w:r>
            <w:proofErr w:type="spellEnd"/>
            <w:r w:rsidRPr="003E3F69">
              <w:rPr>
                <w:rFonts w:ascii="Times New Roman" w:eastAsia="Times New Roman" w:hAnsi="Times New Roman" w:cs="Times New Roman"/>
                <w:color w:val="000000"/>
                <w:kern w:val="0"/>
                <w:sz w:val="24"/>
                <w:szCs w:val="24"/>
                <w:lang w:eastAsia="uk-UA"/>
                <w14:ligatures w14:val="none"/>
              </w:rPr>
              <w:t>. 2025</w:t>
            </w:r>
          </w:p>
        </w:tc>
        <w:tc>
          <w:tcPr>
            <w:tcW w:w="1365" w:type="dxa"/>
            <w:tcBorders>
              <w:top w:val="single" w:sz="4" w:space="0" w:color="auto"/>
              <w:left w:val="nil"/>
              <w:bottom w:val="single" w:sz="4" w:space="0" w:color="auto"/>
              <w:right w:val="single" w:sz="4" w:space="0" w:color="auto"/>
            </w:tcBorders>
            <w:vAlign w:val="center"/>
            <w:hideMark/>
          </w:tcPr>
          <w:p w14:paraId="1C62B598"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Нормативне значення</w:t>
            </w:r>
          </w:p>
        </w:tc>
        <w:tc>
          <w:tcPr>
            <w:tcW w:w="1331" w:type="dxa"/>
            <w:tcBorders>
              <w:top w:val="single" w:sz="4" w:space="0" w:color="auto"/>
              <w:left w:val="nil"/>
              <w:bottom w:val="single" w:sz="4" w:space="0" w:color="auto"/>
              <w:right w:val="single" w:sz="4" w:space="0" w:color="auto"/>
            </w:tcBorders>
            <w:vAlign w:val="center"/>
            <w:hideMark/>
          </w:tcPr>
          <w:p w14:paraId="11DD4297" w14:textId="77777777" w:rsidR="00D1117D" w:rsidRPr="003E3F69" w:rsidRDefault="00D1117D" w:rsidP="00D1117D">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Відхилення 2025/2021 (+/–)</w:t>
            </w:r>
          </w:p>
        </w:tc>
      </w:tr>
      <w:tr w:rsidR="00D1117D" w:rsidRPr="003E3F69" w14:paraId="413E6655" w14:textId="77777777" w:rsidTr="00D1117D">
        <w:trPr>
          <w:trHeight w:val="552"/>
        </w:trPr>
        <w:tc>
          <w:tcPr>
            <w:tcW w:w="1980" w:type="dxa"/>
            <w:tcBorders>
              <w:top w:val="nil"/>
              <w:left w:val="single" w:sz="4" w:space="0" w:color="auto"/>
              <w:bottom w:val="single" w:sz="4" w:space="0" w:color="auto"/>
              <w:right w:val="single" w:sz="4" w:space="0" w:color="auto"/>
            </w:tcBorders>
            <w:vAlign w:val="center"/>
            <w:hideMark/>
          </w:tcPr>
          <w:p w14:paraId="56B6E392" w14:textId="77777777" w:rsidR="00D1117D" w:rsidRPr="003E3F69" w:rsidRDefault="00D1117D" w:rsidP="00D1117D">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Коефіцієнт поточної ліквідності</w:t>
            </w:r>
          </w:p>
        </w:tc>
        <w:tc>
          <w:tcPr>
            <w:tcW w:w="992" w:type="dxa"/>
            <w:tcBorders>
              <w:top w:val="nil"/>
              <w:left w:val="nil"/>
              <w:bottom w:val="single" w:sz="4" w:space="0" w:color="auto"/>
              <w:right w:val="single" w:sz="4" w:space="0" w:color="auto"/>
            </w:tcBorders>
            <w:vAlign w:val="center"/>
            <w:hideMark/>
          </w:tcPr>
          <w:p w14:paraId="414548CE"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1,23</w:t>
            </w:r>
          </w:p>
        </w:tc>
        <w:tc>
          <w:tcPr>
            <w:tcW w:w="991" w:type="dxa"/>
            <w:tcBorders>
              <w:top w:val="nil"/>
              <w:left w:val="nil"/>
              <w:bottom w:val="single" w:sz="4" w:space="0" w:color="auto"/>
              <w:right w:val="single" w:sz="4" w:space="0" w:color="auto"/>
            </w:tcBorders>
            <w:vAlign w:val="center"/>
            <w:hideMark/>
          </w:tcPr>
          <w:p w14:paraId="1A06EED7"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1,16</w:t>
            </w:r>
          </w:p>
        </w:tc>
        <w:tc>
          <w:tcPr>
            <w:tcW w:w="992" w:type="dxa"/>
            <w:tcBorders>
              <w:top w:val="nil"/>
              <w:left w:val="nil"/>
              <w:bottom w:val="single" w:sz="4" w:space="0" w:color="auto"/>
              <w:right w:val="single" w:sz="4" w:space="0" w:color="auto"/>
            </w:tcBorders>
            <w:vAlign w:val="center"/>
            <w:hideMark/>
          </w:tcPr>
          <w:p w14:paraId="17056614"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1,21</w:t>
            </w:r>
          </w:p>
        </w:tc>
        <w:tc>
          <w:tcPr>
            <w:tcW w:w="991" w:type="dxa"/>
            <w:tcBorders>
              <w:top w:val="nil"/>
              <w:left w:val="nil"/>
              <w:bottom w:val="single" w:sz="4" w:space="0" w:color="auto"/>
              <w:right w:val="single" w:sz="4" w:space="0" w:color="auto"/>
            </w:tcBorders>
            <w:vAlign w:val="center"/>
            <w:hideMark/>
          </w:tcPr>
          <w:p w14:paraId="4529DB0B"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1,27</w:t>
            </w:r>
          </w:p>
        </w:tc>
        <w:tc>
          <w:tcPr>
            <w:tcW w:w="992" w:type="dxa"/>
            <w:tcBorders>
              <w:top w:val="nil"/>
              <w:left w:val="nil"/>
              <w:bottom w:val="single" w:sz="4" w:space="0" w:color="auto"/>
              <w:right w:val="single" w:sz="4" w:space="0" w:color="auto"/>
            </w:tcBorders>
            <w:vAlign w:val="center"/>
            <w:hideMark/>
          </w:tcPr>
          <w:p w14:paraId="71C4FD4D"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1,35</w:t>
            </w:r>
          </w:p>
        </w:tc>
        <w:tc>
          <w:tcPr>
            <w:tcW w:w="1365" w:type="dxa"/>
            <w:tcBorders>
              <w:top w:val="nil"/>
              <w:left w:val="nil"/>
              <w:bottom w:val="single" w:sz="4" w:space="0" w:color="auto"/>
              <w:right w:val="single" w:sz="4" w:space="0" w:color="auto"/>
            </w:tcBorders>
            <w:vAlign w:val="center"/>
            <w:hideMark/>
          </w:tcPr>
          <w:p w14:paraId="2D3657AE"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&gt;1,0</w:t>
            </w:r>
          </w:p>
        </w:tc>
        <w:tc>
          <w:tcPr>
            <w:tcW w:w="1331" w:type="dxa"/>
            <w:tcBorders>
              <w:top w:val="nil"/>
              <w:left w:val="nil"/>
              <w:bottom w:val="single" w:sz="4" w:space="0" w:color="auto"/>
              <w:right w:val="single" w:sz="4" w:space="0" w:color="auto"/>
            </w:tcBorders>
            <w:vAlign w:val="center"/>
            <w:hideMark/>
          </w:tcPr>
          <w:p w14:paraId="18CE667C"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0,12</w:t>
            </w:r>
          </w:p>
        </w:tc>
      </w:tr>
      <w:tr w:rsidR="00D1117D" w:rsidRPr="003E3F69" w14:paraId="0D59AC6C" w14:textId="77777777" w:rsidTr="00D1117D">
        <w:trPr>
          <w:trHeight w:val="552"/>
        </w:trPr>
        <w:tc>
          <w:tcPr>
            <w:tcW w:w="1980" w:type="dxa"/>
            <w:tcBorders>
              <w:top w:val="nil"/>
              <w:left w:val="single" w:sz="4" w:space="0" w:color="auto"/>
              <w:bottom w:val="single" w:sz="4" w:space="0" w:color="auto"/>
              <w:right w:val="single" w:sz="4" w:space="0" w:color="auto"/>
            </w:tcBorders>
            <w:vAlign w:val="center"/>
            <w:hideMark/>
          </w:tcPr>
          <w:p w14:paraId="11E8A911" w14:textId="77777777" w:rsidR="00D1117D" w:rsidRPr="003E3F69" w:rsidRDefault="00D1117D" w:rsidP="00D1117D">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Коефіцієнт швидкої ліквідності</w:t>
            </w:r>
          </w:p>
        </w:tc>
        <w:tc>
          <w:tcPr>
            <w:tcW w:w="992" w:type="dxa"/>
            <w:tcBorders>
              <w:top w:val="nil"/>
              <w:left w:val="nil"/>
              <w:bottom w:val="single" w:sz="4" w:space="0" w:color="auto"/>
              <w:right w:val="single" w:sz="4" w:space="0" w:color="auto"/>
            </w:tcBorders>
            <w:vAlign w:val="center"/>
            <w:hideMark/>
          </w:tcPr>
          <w:p w14:paraId="25AAB104"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0,67</w:t>
            </w:r>
          </w:p>
        </w:tc>
        <w:tc>
          <w:tcPr>
            <w:tcW w:w="991" w:type="dxa"/>
            <w:tcBorders>
              <w:top w:val="nil"/>
              <w:left w:val="nil"/>
              <w:bottom w:val="single" w:sz="4" w:space="0" w:color="auto"/>
              <w:right w:val="single" w:sz="4" w:space="0" w:color="auto"/>
            </w:tcBorders>
            <w:vAlign w:val="center"/>
            <w:hideMark/>
          </w:tcPr>
          <w:p w14:paraId="2055B701"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0,65</w:t>
            </w:r>
          </w:p>
        </w:tc>
        <w:tc>
          <w:tcPr>
            <w:tcW w:w="992" w:type="dxa"/>
            <w:tcBorders>
              <w:top w:val="nil"/>
              <w:left w:val="nil"/>
              <w:bottom w:val="single" w:sz="4" w:space="0" w:color="auto"/>
              <w:right w:val="single" w:sz="4" w:space="0" w:color="auto"/>
            </w:tcBorders>
            <w:vAlign w:val="center"/>
            <w:hideMark/>
          </w:tcPr>
          <w:p w14:paraId="135A5EF5"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0,66</w:t>
            </w:r>
          </w:p>
        </w:tc>
        <w:tc>
          <w:tcPr>
            <w:tcW w:w="991" w:type="dxa"/>
            <w:tcBorders>
              <w:top w:val="nil"/>
              <w:left w:val="nil"/>
              <w:bottom w:val="single" w:sz="4" w:space="0" w:color="auto"/>
              <w:right w:val="single" w:sz="4" w:space="0" w:color="auto"/>
            </w:tcBorders>
            <w:vAlign w:val="center"/>
            <w:hideMark/>
          </w:tcPr>
          <w:p w14:paraId="0CF99C52"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0,74</w:t>
            </w:r>
          </w:p>
        </w:tc>
        <w:tc>
          <w:tcPr>
            <w:tcW w:w="992" w:type="dxa"/>
            <w:tcBorders>
              <w:top w:val="nil"/>
              <w:left w:val="nil"/>
              <w:bottom w:val="single" w:sz="4" w:space="0" w:color="auto"/>
              <w:right w:val="single" w:sz="4" w:space="0" w:color="auto"/>
            </w:tcBorders>
            <w:vAlign w:val="center"/>
            <w:hideMark/>
          </w:tcPr>
          <w:p w14:paraId="5EEEBBEC"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0,8</w:t>
            </w:r>
          </w:p>
        </w:tc>
        <w:tc>
          <w:tcPr>
            <w:tcW w:w="1365" w:type="dxa"/>
            <w:tcBorders>
              <w:top w:val="nil"/>
              <w:left w:val="nil"/>
              <w:bottom w:val="single" w:sz="4" w:space="0" w:color="auto"/>
              <w:right w:val="single" w:sz="4" w:space="0" w:color="auto"/>
            </w:tcBorders>
            <w:vAlign w:val="center"/>
            <w:hideMark/>
          </w:tcPr>
          <w:p w14:paraId="07AC272D"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0,7–1,0</w:t>
            </w:r>
          </w:p>
        </w:tc>
        <w:tc>
          <w:tcPr>
            <w:tcW w:w="1331" w:type="dxa"/>
            <w:tcBorders>
              <w:top w:val="nil"/>
              <w:left w:val="nil"/>
              <w:bottom w:val="single" w:sz="4" w:space="0" w:color="auto"/>
              <w:right w:val="single" w:sz="4" w:space="0" w:color="auto"/>
            </w:tcBorders>
            <w:vAlign w:val="center"/>
            <w:hideMark/>
          </w:tcPr>
          <w:p w14:paraId="7267A609"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0,13</w:t>
            </w:r>
          </w:p>
        </w:tc>
      </w:tr>
      <w:tr w:rsidR="00D1117D" w:rsidRPr="003E3F69" w14:paraId="034F8FF0" w14:textId="77777777" w:rsidTr="00D1117D">
        <w:trPr>
          <w:trHeight w:val="828"/>
        </w:trPr>
        <w:tc>
          <w:tcPr>
            <w:tcW w:w="1980" w:type="dxa"/>
            <w:tcBorders>
              <w:top w:val="nil"/>
              <w:left w:val="single" w:sz="4" w:space="0" w:color="auto"/>
              <w:bottom w:val="single" w:sz="4" w:space="0" w:color="auto"/>
              <w:right w:val="single" w:sz="4" w:space="0" w:color="auto"/>
            </w:tcBorders>
            <w:vAlign w:val="center"/>
            <w:hideMark/>
          </w:tcPr>
          <w:p w14:paraId="4438562B" w14:textId="77777777" w:rsidR="00D1117D" w:rsidRPr="003E3F69" w:rsidRDefault="00D1117D" w:rsidP="00D1117D">
            <w:pPr>
              <w:spacing w:after="0" w:line="240" w:lineRule="auto"/>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Коефіцієнт автономії (фінансової незалежності)</w:t>
            </w:r>
          </w:p>
        </w:tc>
        <w:tc>
          <w:tcPr>
            <w:tcW w:w="992" w:type="dxa"/>
            <w:tcBorders>
              <w:top w:val="nil"/>
              <w:left w:val="nil"/>
              <w:bottom w:val="single" w:sz="4" w:space="0" w:color="auto"/>
              <w:right w:val="single" w:sz="4" w:space="0" w:color="auto"/>
            </w:tcBorders>
            <w:vAlign w:val="center"/>
            <w:hideMark/>
          </w:tcPr>
          <w:p w14:paraId="404E8C88"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0,55</w:t>
            </w:r>
          </w:p>
        </w:tc>
        <w:tc>
          <w:tcPr>
            <w:tcW w:w="991" w:type="dxa"/>
            <w:tcBorders>
              <w:top w:val="nil"/>
              <w:left w:val="nil"/>
              <w:bottom w:val="single" w:sz="4" w:space="0" w:color="auto"/>
              <w:right w:val="single" w:sz="4" w:space="0" w:color="auto"/>
            </w:tcBorders>
            <w:vAlign w:val="center"/>
            <w:hideMark/>
          </w:tcPr>
          <w:p w14:paraId="2072203D"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0,51</w:t>
            </w:r>
          </w:p>
        </w:tc>
        <w:tc>
          <w:tcPr>
            <w:tcW w:w="992" w:type="dxa"/>
            <w:tcBorders>
              <w:top w:val="nil"/>
              <w:left w:val="nil"/>
              <w:bottom w:val="single" w:sz="4" w:space="0" w:color="auto"/>
              <w:right w:val="single" w:sz="4" w:space="0" w:color="auto"/>
            </w:tcBorders>
            <w:vAlign w:val="center"/>
            <w:hideMark/>
          </w:tcPr>
          <w:p w14:paraId="554B8E0A"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0,47</w:t>
            </w:r>
          </w:p>
        </w:tc>
        <w:tc>
          <w:tcPr>
            <w:tcW w:w="991" w:type="dxa"/>
            <w:tcBorders>
              <w:top w:val="nil"/>
              <w:left w:val="nil"/>
              <w:bottom w:val="single" w:sz="4" w:space="0" w:color="auto"/>
              <w:right w:val="single" w:sz="4" w:space="0" w:color="auto"/>
            </w:tcBorders>
            <w:vAlign w:val="center"/>
            <w:hideMark/>
          </w:tcPr>
          <w:p w14:paraId="4E94F338"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0,47</w:t>
            </w:r>
          </w:p>
        </w:tc>
        <w:tc>
          <w:tcPr>
            <w:tcW w:w="992" w:type="dxa"/>
            <w:tcBorders>
              <w:top w:val="nil"/>
              <w:left w:val="nil"/>
              <w:bottom w:val="single" w:sz="4" w:space="0" w:color="auto"/>
              <w:right w:val="single" w:sz="4" w:space="0" w:color="auto"/>
            </w:tcBorders>
            <w:vAlign w:val="center"/>
            <w:hideMark/>
          </w:tcPr>
          <w:p w14:paraId="4343802A"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0,48</w:t>
            </w:r>
          </w:p>
        </w:tc>
        <w:tc>
          <w:tcPr>
            <w:tcW w:w="1365" w:type="dxa"/>
            <w:tcBorders>
              <w:top w:val="nil"/>
              <w:left w:val="nil"/>
              <w:bottom w:val="single" w:sz="4" w:space="0" w:color="auto"/>
              <w:right w:val="single" w:sz="4" w:space="0" w:color="auto"/>
            </w:tcBorders>
            <w:vAlign w:val="center"/>
            <w:hideMark/>
          </w:tcPr>
          <w:p w14:paraId="0F98966A"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≥0,5</w:t>
            </w:r>
          </w:p>
        </w:tc>
        <w:tc>
          <w:tcPr>
            <w:tcW w:w="1331" w:type="dxa"/>
            <w:tcBorders>
              <w:top w:val="nil"/>
              <w:left w:val="nil"/>
              <w:bottom w:val="single" w:sz="4" w:space="0" w:color="auto"/>
              <w:right w:val="single" w:sz="4" w:space="0" w:color="auto"/>
            </w:tcBorders>
            <w:vAlign w:val="center"/>
            <w:hideMark/>
          </w:tcPr>
          <w:p w14:paraId="6BCF1B19" w14:textId="77777777" w:rsidR="00D1117D" w:rsidRPr="003E3F69" w:rsidRDefault="00D1117D" w:rsidP="00D1117D">
            <w:pPr>
              <w:spacing w:after="0" w:line="240" w:lineRule="auto"/>
              <w:jc w:val="right"/>
              <w:rPr>
                <w:rFonts w:ascii="Times New Roman" w:eastAsia="Times New Roman" w:hAnsi="Times New Roman" w:cs="Times New Roman"/>
                <w:color w:val="000000"/>
                <w:kern w:val="0"/>
                <w:sz w:val="24"/>
                <w:szCs w:val="24"/>
                <w:lang w:eastAsia="uk-UA"/>
                <w14:ligatures w14:val="none"/>
              </w:rPr>
            </w:pPr>
            <w:r w:rsidRPr="003E3F69">
              <w:rPr>
                <w:rFonts w:ascii="Times New Roman" w:eastAsia="Times New Roman" w:hAnsi="Times New Roman" w:cs="Times New Roman"/>
                <w:color w:val="000000"/>
                <w:kern w:val="0"/>
                <w:sz w:val="24"/>
                <w:szCs w:val="24"/>
                <w:lang w:eastAsia="uk-UA"/>
                <w14:ligatures w14:val="none"/>
              </w:rPr>
              <w:t>–0,07</w:t>
            </w:r>
          </w:p>
        </w:tc>
      </w:tr>
    </w:tbl>
    <w:p w14:paraId="1A97C9BE" w14:textId="37124F72" w:rsidR="00093ED0" w:rsidRPr="00846DC2" w:rsidRDefault="00E20A55" w:rsidP="00846DC2">
      <w:pPr>
        <w:widowControl w:val="0"/>
        <w:spacing w:after="0" w:line="360" w:lineRule="auto"/>
        <w:rPr>
          <w:rFonts w:ascii="Times New Roman" w:hAnsi="Times New Roman" w:cs="Times New Roman"/>
          <w:sz w:val="24"/>
          <w:szCs w:val="24"/>
        </w:rPr>
      </w:pPr>
      <w:r w:rsidRPr="003E3F69">
        <w:rPr>
          <w:rFonts w:ascii="Times New Roman" w:hAnsi="Times New Roman" w:cs="Times New Roman"/>
          <w:sz w:val="24"/>
          <w:szCs w:val="24"/>
        </w:rPr>
        <w:t>*</w:t>
      </w:r>
      <w:r w:rsidR="00D1117D" w:rsidRPr="003E3F69">
        <w:rPr>
          <w:rFonts w:ascii="Times New Roman" w:hAnsi="Times New Roman" w:cs="Times New Roman"/>
          <w:sz w:val="24"/>
          <w:szCs w:val="24"/>
        </w:rPr>
        <w:t>Джерело: складено автор</w:t>
      </w:r>
      <w:r w:rsidRPr="003E3F69">
        <w:rPr>
          <w:rFonts w:ascii="Times New Roman" w:hAnsi="Times New Roman" w:cs="Times New Roman"/>
          <w:sz w:val="24"/>
          <w:szCs w:val="24"/>
        </w:rPr>
        <w:t>ами</w:t>
      </w:r>
      <w:r w:rsidR="00D1117D" w:rsidRPr="003E3F69">
        <w:rPr>
          <w:rFonts w:ascii="Times New Roman" w:hAnsi="Times New Roman" w:cs="Times New Roman"/>
          <w:sz w:val="24"/>
          <w:szCs w:val="24"/>
        </w:rPr>
        <w:t xml:space="preserve"> на основі фінансової звітності підприємства.</w:t>
      </w:r>
    </w:p>
    <w:p w14:paraId="76938C40" w14:textId="4754C85F" w:rsidR="00E52227" w:rsidRPr="003E3F69" w:rsidRDefault="00E52227" w:rsidP="00D1117D">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Порівняння з середніми показниками по галузі демонструє конкурентну перевагу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xml:space="preserve">». Якщо середній коефіцієнт поточної ліквідності у будівельних компаній України становить близько 1,28, а автономії — 0,44, то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перевищує обидва орієнтири. Це свідчить про те, що компанія не лише зберегла платоспроможність, а й має кращу структуру активів, ніж більшість конкурентів. Підприємство утримує стабільний рівень прибутковості, незважаючи на коливання собівартості, що є результатом раціонального управління ресурсами. Водночас у структурі оборотних активів значну частку (понад 40%) становить дебіторська заборгованість. Саме вона залишається головним фактором ризику для поточної ліквідності, адже кошти, що перебувають у дебіторів, фактично вилучені з обороту.</w:t>
      </w:r>
    </w:p>
    <w:p w14:paraId="482BA3E3" w14:textId="60A4BB23" w:rsidR="00E52227" w:rsidRPr="003E3F69" w:rsidRDefault="00093ED0"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Детальніший</w:t>
      </w:r>
      <w:r w:rsidR="00E52227" w:rsidRPr="003E3F69">
        <w:rPr>
          <w:rFonts w:ascii="Times New Roman" w:hAnsi="Times New Roman" w:cs="Times New Roman"/>
          <w:sz w:val="28"/>
          <w:szCs w:val="28"/>
        </w:rPr>
        <w:t xml:space="preserve"> аналіз показує, що впродовж 2022–2023 років, у період найбільшої воєнної невизначеності, підприємство було змушене працювати з </w:t>
      </w:r>
      <w:r w:rsidR="00E52227" w:rsidRPr="003E3F69">
        <w:rPr>
          <w:rFonts w:ascii="Times New Roman" w:hAnsi="Times New Roman" w:cs="Times New Roman"/>
          <w:sz w:val="28"/>
          <w:szCs w:val="28"/>
        </w:rPr>
        <w:lastRenderedPageBreak/>
        <w:t>відстрочками платежів. Однак уже у 2024–2025 роках завдяки зміцненню дисципліни розрахунків, впровадженню авансової системи з клієнтами та активнішому використанню безготівкових операцій частка грошових коштів у структурі активів суттєво збільшилася — із 720 тис. грн до 1,63 млн грн. Це є важливим сигналом відновлення фінансової гнучкості. Таким чином, компанія продемонструвала здатність не лише зберігати ліквідність, а й ефективно реагувати на зовнішні зміни.</w:t>
      </w:r>
    </w:p>
    <w:p w14:paraId="6D5152A7" w14:textId="54BBC612" w:rsidR="00E52227" w:rsidRPr="00107941" w:rsidRDefault="00E52227" w:rsidP="00E33FD8">
      <w:pPr>
        <w:widowControl w:val="0"/>
        <w:spacing w:after="0" w:line="360" w:lineRule="auto"/>
        <w:ind w:firstLine="708"/>
        <w:jc w:val="both"/>
        <w:rPr>
          <w:rFonts w:ascii="Times New Roman" w:hAnsi="Times New Roman" w:cs="Times New Roman"/>
          <w:sz w:val="28"/>
          <w:szCs w:val="28"/>
          <w:lang w:val="ru-RU"/>
        </w:rPr>
      </w:pPr>
      <w:r w:rsidRPr="003E3F69">
        <w:rPr>
          <w:rFonts w:ascii="Times New Roman" w:hAnsi="Times New Roman" w:cs="Times New Roman"/>
          <w:sz w:val="28"/>
          <w:szCs w:val="28"/>
        </w:rPr>
        <w:t>Водночас ключовими факторами, що стримують повне відновлення фінансової стійкості, є зростання вартості матеріалів, нестабільність гривневого курсу та збільшення податкового навантаження. В умовах війни підвищилася собівартість через логістичні ризики та вимушене авансування постачальників. Незважаючи на це, підприємств</w:t>
      </w:r>
      <w:r w:rsidR="00093ED0" w:rsidRPr="003E3F69">
        <w:rPr>
          <w:rFonts w:ascii="Times New Roman" w:hAnsi="Times New Roman" w:cs="Times New Roman"/>
          <w:sz w:val="28"/>
          <w:szCs w:val="28"/>
        </w:rPr>
        <w:t>у вдалося уникнути</w:t>
      </w:r>
      <w:r w:rsidRPr="003E3F69">
        <w:rPr>
          <w:rFonts w:ascii="Times New Roman" w:hAnsi="Times New Roman" w:cs="Times New Roman"/>
          <w:sz w:val="28"/>
          <w:szCs w:val="28"/>
        </w:rPr>
        <w:t xml:space="preserve"> дефіциту ліквідності — свідченням чого є стабільна динаміка грошових потоків і відсутність прострочених зобов’язань.</w:t>
      </w:r>
      <w:r w:rsidR="0019393A">
        <w:rPr>
          <w:rFonts w:ascii="Times New Roman" w:hAnsi="Times New Roman" w:cs="Times New Roman"/>
          <w:sz w:val="28"/>
          <w:szCs w:val="28"/>
        </w:rPr>
        <w:t xml:space="preserve"> </w:t>
      </w:r>
      <w:r w:rsidR="0019393A" w:rsidRPr="00107941">
        <w:rPr>
          <w:rFonts w:ascii="Times New Roman" w:hAnsi="Times New Roman" w:cs="Times New Roman"/>
          <w:sz w:val="28"/>
          <w:szCs w:val="28"/>
          <w:lang w:val="ru-RU"/>
        </w:rPr>
        <w:t>[4]</w:t>
      </w:r>
    </w:p>
    <w:p w14:paraId="0C51F826" w14:textId="771EAF6E" w:rsidR="00093ED0" w:rsidRPr="003E3F69" w:rsidRDefault="00093ED0"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Орієнтири підвищення платоспроможності будівельної компанії в сучасних надскладних умовах господарювання наведено на рис.1.</w:t>
      </w:r>
    </w:p>
    <w:p w14:paraId="6F3CF8E8" w14:textId="77777777" w:rsidR="00093ED0" w:rsidRPr="003E3F69" w:rsidRDefault="00093ED0" w:rsidP="00E33FD8">
      <w:pPr>
        <w:widowControl w:val="0"/>
        <w:spacing w:after="0" w:line="360" w:lineRule="auto"/>
        <w:ind w:firstLine="708"/>
        <w:jc w:val="both"/>
        <w:rPr>
          <w:rFonts w:ascii="Times New Roman" w:hAnsi="Times New Roman" w:cs="Times New Roman"/>
          <w:sz w:val="28"/>
          <w:szCs w:val="28"/>
        </w:rPr>
      </w:pPr>
    </w:p>
    <w:p w14:paraId="3EC46661" w14:textId="64F7CC4A" w:rsidR="00E33FD8" w:rsidRPr="003E3F69" w:rsidRDefault="00E33FD8" w:rsidP="00E33FD8">
      <w:pPr>
        <w:widowControl w:val="0"/>
        <w:spacing w:after="0" w:line="360" w:lineRule="auto"/>
        <w:ind w:firstLine="708"/>
        <w:jc w:val="center"/>
        <w:rPr>
          <w:rFonts w:ascii="Times New Roman" w:hAnsi="Times New Roman" w:cs="Times New Roman"/>
          <w:sz w:val="28"/>
          <w:szCs w:val="28"/>
        </w:rPr>
      </w:pPr>
      <w:r w:rsidRPr="003E3F69">
        <w:rPr>
          <w:rFonts w:ascii="Times New Roman" w:hAnsi="Times New Roman" w:cs="Times New Roman"/>
          <w:noProof/>
          <w:sz w:val="28"/>
          <w:szCs w:val="28"/>
        </w:rPr>
        <w:drawing>
          <wp:inline distT="0" distB="0" distL="0" distR="0" wp14:anchorId="11652FB7" wp14:editId="5C7CB640">
            <wp:extent cx="5486400" cy="3200400"/>
            <wp:effectExtent l="0" t="0" r="0" b="19050"/>
            <wp:docPr id="22718369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55C9D60A" w14:textId="77777777" w:rsidR="00093ED0" w:rsidRPr="003E3F69" w:rsidRDefault="00093ED0" w:rsidP="00E33FD8">
      <w:pPr>
        <w:widowControl w:val="0"/>
        <w:spacing w:after="0" w:line="360" w:lineRule="auto"/>
        <w:ind w:firstLine="708"/>
        <w:jc w:val="both"/>
        <w:rPr>
          <w:rFonts w:ascii="Times New Roman" w:hAnsi="Times New Roman" w:cs="Times New Roman"/>
          <w:sz w:val="28"/>
          <w:szCs w:val="28"/>
        </w:rPr>
      </w:pPr>
    </w:p>
    <w:p w14:paraId="592DE5C9" w14:textId="7CADBBC9" w:rsidR="00093ED0" w:rsidRPr="003E3F69" w:rsidRDefault="00093ED0" w:rsidP="00093ED0">
      <w:pPr>
        <w:widowControl w:val="0"/>
        <w:spacing w:after="0" w:line="360" w:lineRule="auto"/>
        <w:ind w:firstLine="708"/>
        <w:jc w:val="center"/>
        <w:rPr>
          <w:rFonts w:ascii="Times New Roman" w:hAnsi="Times New Roman" w:cs="Times New Roman"/>
          <w:sz w:val="28"/>
          <w:szCs w:val="28"/>
        </w:rPr>
      </w:pPr>
      <w:r w:rsidRPr="003E3F69">
        <w:rPr>
          <w:rFonts w:ascii="Times New Roman" w:hAnsi="Times New Roman" w:cs="Times New Roman"/>
          <w:sz w:val="28"/>
          <w:szCs w:val="28"/>
        </w:rPr>
        <w:t xml:space="preserve">Рисунок 1. Основні напрями підвищення платоспроможності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w:t>
      </w:r>
    </w:p>
    <w:p w14:paraId="67DC59B9" w14:textId="1EEE4D25" w:rsidR="00093ED0" w:rsidRPr="003E3F69" w:rsidRDefault="003E3F69" w:rsidP="003E3F69">
      <w:pPr>
        <w:widowControl w:val="0"/>
        <w:spacing w:after="0" w:line="360" w:lineRule="auto"/>
        <w:jc w:val="both"/>
        <w:rPr>
          <w:rFonts w:ascii="Times New Roman" w:hAnsi="Times New Roman" w:cs="Times New Roman"/>
          <w:sz w:val="24"/>
          <w:szCs w:val="24"/>
          <w:lang w:val="ru-RU"/>
        </w:rPr>
      </w:pPr>
      <w:r w:rsidRPr="003E3F69">
        <w:rPr>
          <w:rFonts w:ascii="Times New Roman" w:hAnsi="Times New Roman" w:cs="Times New Roman"/>
          <w:sz w:val="24"/>
          <w:szCs w:val="24"/>
        </w:rPr>
        <w:lastRenderedPageBreak/>
        <w:t>*Розроблено авторами</w:t>
      </w:r>
      <w:r>
        <w:rPr>
          <w:rFonts w:ascii="Times New Roman" w:hAnsi="Times New Roman" w:cs="Times New Roman"/>
          <w:sz w:val="24"/>
          <w:szCs w:val="24"/>
        </w:rPr>
        <w:t xml:space="preserve"> на основі опрацювання джерел </w:t>
      </w:r>
      <w:r w:rsidRPr="003E3F69">
        <w:rPr>
          <w:rFonts w:ascii="Times New Roman" w:hAnsi="Times New Roman" w:cs="Times New Roman"/>
          <w:sz w:val="24"/>
          <w:szCs w:val="24"/>
          <w:lang w:val="ru-RU"/>
        </w:rPr>
        <w:t xml:space="preserve"> </w:t>
      </w:r>
      <w:r w:rsidRPr="0019393A">
        <w:rPr>
          <w:rFonts w:ascii="Times New Roman" w:hAnsi="Times New Roman" w:cs="Times New Roman"/>
          <w:sz w:val="24"/>
          <w:szCs w:val="24"/>
          <w:lang w:val="ru-RU"/>
        </w:rPr>
        <w:t>[</w:t>
      </w:r>
      <w:r w:rsidR="0019393A" w:rsidRPr="00107941">
        <w:rPr>
          <w:rFonts w:ascii="Times New Roman" w:hAnsi="Times New Roman" w:cs="Times New Roman"/>
          <w:sz w:val="24"/>
          <w:szCs w:val="24"/>
          <w:lang w:val="ru-RU"/>
        </w:rPr>
        <w:t>4</w:t>
      </w:r>
      <w:r w:rsidR="00846DC2">
        <w:rPr>
          <w:rFonts w:ascii="Times New Roman" w:hAnsi="Times New Roman" w:cs="Times New Roman"/>
          <w:sz w:val="24"/>
          <w:szCs w:val="24"/>
        </w:rPr>
        <w:t>; 11; 12</w:t>
      </w:r>
      <w:r w:rsidRPr="0019393A">
        <w:rPr>
          <w:rFonts w:ascii="Times New Roman" w:hAnsi="Times New Roman" w:cs="Times New Roman"/>
          <w:sz w:val="24"/>
          <w:szCs w:val="24"/>
          <w:lang w:val="ru-RU"/>
        </w:rPr>
        <w:t>]</w:t>
      </w:r>
    </w:p>
    <w:p w14:paraId="181DD50E" w14:textId="77777777" w:rsidR="00846DC2" w:rsidRDefault="00846DC2" w:rsidP="00E33FD8">
      <w:pPr>
        <w:widowControl w:val="0"/>
        <w:spacing w:after="0" w:line="360" w:lineRule="auto"/>
        <w:ind w:firstLine="708"/>
        <w:jc w:val="both"/>
        <w:rPr>
          <w:rFonts w:ascii="Times New Roman" w:hAnsi="Times New Roman" w:cs="Times New Roman"/>
          <w:sz w:val="28"/>
          <w:szCs w:val="28"/>
        </w:rPr>
      </w:pPr>
    </w:p>
    <w:p w14:paraId="2931AD97" w14:textId="547E9B6F"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Враховуючи результати аналізу, підвищення платоспроможності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має ґрунтуватися на поєднанні фінансової дисципліни, диверсифікації діяльності та залученні нових інструментів управління ліквідністю. Насамперед підприємству доцільно активізувати управління дебіторською заборгованістю. Запровадження системи кредитного моніторингу замовників, лімітів заборгованості, штрафів за прострочку та заохочень за дострокову оплату дасть змогу зменшити строк інкасації боргів до 60 днів. Додатковим інструментом може стати факторинг — продаж дебіторської заборгованості банку з отриманням коштів одразу, що збільшить оперативну ліквідність без зростання боргового навантаження.</w:t>
      </w:r>
    </w:p>
    <w:p w14:paraId="51625689" w14:textId="33A60A46"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Наступним важливим кроком є оптимізація структури активів і зобов’язань. Необхідно підвищити частку грошових коштів і короткострокових фінансових інвестицій у складі оборотних активів, поступово скорочуючи запаси й незавершене виробництво</w:t>
      </w:r>
      <w:r w:rsidR="00DB30CC" w:rsidRPr="003E3F69">
        <w:rPr>
          <w:rFonts w:ascii="Times New Roman" w:hAnsi="Times New Roman" w:cs="Times New Roman"/>
          <w:sz w:val="28"/>
          <w:szCs w:val="28"/>
        </w:rPr>
        <w:t xml:space="preserve"> (однак це дуже індивідуальний підхід, оскільки в будівельній галузі залишки запасів не можуть зводитися до нуля)</w:t>
      </w:r>
      <w:r w:rsidRPr="003E3F69">
        <w:rPr>
          <w:rFonts w:ascii="Times New Roman" w:hAnsi="Times New Roman" w:cs="Times New Roman"/>
          <w:sz w:val="28"/>
          <w:szCs w:val="28"/>
        </w:rPr>
        <w:t>. З боку пасивів доцільним є перехід від короткострокових кредитів до довгострокових, а також участь у державних і міжнародних програмах фінансування. Це дасть можливість зменшити фінансовий тиск і забезпечити сталі джерела ресурсів.</w:t>
      </w:r>
    </w:p>
    <w:p w14:paraId="15F622FB" w14:textId="523300EE"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Великий потенціал має впровадження системи фінансового контролінгу. Вона передбачає регулярне прогнозування грошових потоків, аналіз коефіцієнтів ліквідності в реальному часі та складання бюджету ліквідності. Такий підхід дає змогу </w:t>
      </w:r>
      <w:proofErr w:type="spellStart"/>
      <w:r w:rsidRPr="003E3F69">
        <w:rPr>
          <w:rFonts w:ascii="Times New Roman" w:hAnsi="Times New Roman" w:cs="Times New Roman"/>
          <w:sz w:val="28"/>
          <w:szCs w:val="28"/>
        </w:rPr>
        <w:t>оперативно</w:t>
      </w:r>
      <w:proofErr w:type="spellEnd"/>
      <w:r w:rsidRPr="003E3F69">
        <w:rPr>
          <w:rFonts w:ascii="Times New Roman" w:hAnsi="Times New Roman" w:cs="Times New Roman"/>
          <w:sz w:val="28"/>
          <w:szCs w:val="28"/>
        </w:rPr>
        <w:t xml:space="preserve"> реагувати на дефіцит коштів і уникати касових розривів. У поєднанні з </w:t>
      </w:r>
      <w:proofErr w:type="spellStart"/>
      <w:r w:rsidRPr="003E3F69">
        <w:rPr>
          <w:rFonts w:ascii="Times New Roman" w:hAnsi="Times New Roman" w:cs="Times New Roman"/>
          <w:sz w:val="28"/>
          <w:szCs w:val="28"/>
        </w:rPr>
        <w:t>цифровізацією</w:t>
      </w:r>
      <w:proofErr w:type="spellEnd"/>
      <w:r w:rsidRPr="003E3F69">
        <w:rPr>
          <w:rFonts w:ascii="Times New Roman" w:hAnsi="Times New Roman" w:cs="Times New Roman"/>
          <w:sz w:val="28"/>
          <w:szCs w:val="28"/>
        </w:rPr>
        <w:t xml:space="preserve"> обліку — переходом на ERP-систему, яка об’єднує дані бухгалтерії, складу, </w:t>
      </w:r>
      <w:proofErr w:type="spellStart"/>
      <w:r w:rsidRPr="003E3F69">
        <w:rPr>
          <w:rFonts w:ascii="Times New Roman" w:hAnsi="Times New Roman" w:cs="Times New Roman"/>
          <w:sz w:val="28"/>
          <w:szCs w:val="28"/>
        </w:rPr>
        <w:t>проєктів</w:t>
      </w:r>
      <w:proofErr w:type="spellEnd"/>
      <w:r w:rsidRPr="003E3F69">
        <w:rPr>
          <w:rFonts w:ascii="Times New Roman" w:hAnsi="Times New Roman" w:cs="Times New Roman"/>
          <w:sz w:val="28"/>
          <w:szCs w:val="28"/>
        </w:rPr>
        <w:t xml:space="preserve"> і платежів — це суттєво підвищить фінансову прозорість і контроль за ресурсами</w:t>
      </w:r>
      <w:r w:rsidR="00846DC2">
        <w:rPr>
          <w:rFonts w:ascii="Times New Roman" w:hAnsi="Times New Roman" w:cs="Times New Roman"/>
          <w:sz w:val="28"/>
          <w:szCs w:val="28"/>
        </w:rPr>
        <w:t xml:space="preserve"> </w:t>
      </w:r>
      <w:r w:rsidR="00846DC2" w:rsidRPr="00846DC2">
        <w:rPr>
          <w:rFonts w:ascii="Times New Roman" w:hAnsi="Times New Roman" w:cs="Times New Roman"/>
          <w:sz w:val="28"/>
          <w:szCs w:val="28"/>
        </w:rPr>
        <w:t>[11</w:t>
      </w:r>
      <w:r w:rsidR="00846DC2">
        <w:rPr>
          <w:rFonts w:ascii="Times New Roman" w:hAnsi="Times New Roman" w:cs="Times New Roman"/>
          <w:sz w:val="28"/>
          <w:szCs w:val="28"/>
        </w:rPr>
        <w:t>; 12</w:t>
      </w:r>
      <w:r w:rsidR="00846DC2" w:rsidRPr="00846DC2">
        <w:rPr>
          <w:rFonts w:ascii="Times New Roman" w:hAnsi="Times New Roman" w:cs="Times New Roman"/>
          <w:sz w:val="28"/>
          <w:szCs w:val="28"/>
        </w:rPr>
        <w:t>]</w:t>
      </w:r>
      <w:r w:rsidRPr="003E3F69">
        <w:rPr>
          <w:rFonts w:ascii="Times New Roman" w:hAnsi="Times New Roman" w:cs="Times New Roman"/>
          <w:sz w:val="28"/>
          <w:szCs w:val="28"/>
        </w:rPr>
        <w:t>.</w:t>
      </w:r>
    </w:p>
    <w:p w14:paraId="4BE0B670" w14:textId="5CC76E55"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Для зміцнення позицій на ринку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xml:space="preserve">» може розширити спектр діяльності: впроваджувати енергоефективні будівельні рішення, виконувати ремонтно-відновлювальні роботи, надавати послуги оренди техніки та </w:t>
      </w:r>
      <w:proofErr w:type="spellStart"/>
      <w:r w:rsidRPr="003E3F69">
        <w:rPr>
          <w:rFonts w:ascii="Times New Roman" w:hAnsi="Times New Roman" w:cs="Times New Roman"/>
          <w:sz w:val="28"/>
          <w:szCs w:val="28"/>
        </w:rPr>
        <w:t>проєктного</w:t>
      </w:r>
      <w:proofErr w:type="spellEnd"/>
      <w:r w:rsidRPr="003E3F69">
        <w:rPr>
          <w:rFonts w:ascii="Times New Roman" w:hAnsi="Times New Roman" w:cs="Times New Roman"/>
          <w:sz w:val="28"/>
          <w:szCs w:val="28"/>
        </w:rPr>
        <w:t xml:space="preserve"> супроводу. Такі напрями мають коротший фінансовий цикл і </w:t>
      </w:r>
      <w:r w:rsidRPr="003E3F69">
        <w:rPr>
          <w:rFonts w:ascii="Times New Roman" w:hAnsi="Times New Roman" w:cs="Times New Roman"/>
          <w:sz w:val="28"/>
          <w:szCs w:val="28"/>
        </w:rPr>
        <w:lastRenderedPageBreak/>
        <w:t>приносять швидкі грошові надходження, що стабілізує ліквідність у періоди сезонних спадів. Крім того, участь у державних програмах «</w:t>
      </w:r>
      <w:proofErr w:type="spellStart"/>
      <w:r w:rsidRPr="003E3F69">
        <w:rPr>
          <w:rFonts w:ascii="Times New Roman" w:hAnsi="Times New Roman" w:cs="Times New Roman"/>
          <w:sz w:val="28"/>
          <w:szCs w:val="28"/>
        </w:rPr>
        <w:t>єВідновлення</w:t>
      </w:r>
      <w:proofErr w:type="spellEnd"/>
      <w:r w:rsidRPr="003E3F69">
        <w:rPr>
          <w:rFonts w:ascii="Times New Roman" w:hAnsi="Times New Roman" w:cs="Times New Roman"/>
          <w:sz w:val="28"/>
          <w:szCs w:val="28"/>
        </w:rPr>
        <w:t>» і «Велике Відновлення» відкриє доступ до пільгового кредитування, довгострокових контрактів і грантового фінансування, що дозволить розширити масштаб діяльності без додаткового ризику.</w:t>
      </w:r>
    </w:p>
    <w:p w14:paraId="222D6525" w14:textId="49E37141"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Не менш важливим напрямом є формування резервного фонду ліквідності. Якщо щомісяця відраховувати 2–3% чистого прибутку до такого фонду, підприємство зможе створити фінансову «подушку» для покриття короткострокових касових розривів. У воєнних умовах це гарантує стабільність навіть при затримках оплати великих </w:t>
      </w:r>
      <w:proofErr w:type="spellStart"/>
      <w:r w:rsidRPr="003E3F69">
        <w:rPr>
          <w:rFonts w:ascii="Times New Roman" w:hAnsi="Times New Roman" w:cs="Times New Roman"/>
          <w:sz w:val="28"/>
          <w:szCs w:val="28"/>
        </w:rPr>
        <w:t>проєктів</w:t>
      </w:r>
      <w:proofErr w:type="spellEnd"/>
      <w:r w:rsidRPr="003E3F69">
        <w:rPr>
          <w:rFonts w:ascii="Times New Roman" w:hAnsi="Times New Roman" w:cs="Times New Roman"/>
          <w:sz w:val="28"/>
          <w:szCs w:val="28"/>
        </w:rPr>
        <w:t xml:space="preserve">. До цього варто додати навчання управлінського персоналу основам фінансового планування, ризик-менеджменту та сучасних інструментів контролю, адже грамотне прийняття рішень безпосередньо впливає на </w:t>
      </w:r>
      <w:r w:rsidR="00DB30CC" w:rsidRPr="003E3F69">
        <w:rPr>
          <w:rFonts w:ascii="Times New Roman" w:hAnsi="Times New Roman" w:cs="Times New Roman"/>
          <w:sz w:val="28"/>
          <w:szCs w:val="28"/>
        </w:rPr>
        <w:t xml:space="preserve">рівень як поточної </w:t>
      </w:r>
      <w:r w:rsidRPr="003E3F69">
        <w:rPr>
          <w:rFonts w:ascii="Times New Roman" w:hAnsi="Times New Roman" w:cs="Times New Roman"/>
          <w:sz w:val="28"/>
          <w:szCs w:val="28"/>
        </w:rPr>
        <w:t>платоспроможн</w:t>
      </w:r>
      <w:r w:rsidR="00DB30CC" w:rsidRPr="003E3F69">
        <w:rPr>
          <w:rFonts w:ascii="Times New Roman" w:hAnsi="Times New Roman" w:cs="Times New Roman"/>
          <w:sz w:val="28"/>
          <w:szCs w:val="28"/>
        </w:rPr>
        <w:t>ості, так і у перспективі</w:t>
      </w:r>
      <w:r w:rsidRPr="003E3F69">
        <w:rPr>
          <w:rFonts w:ascii="Times New Roman" w:hAnsi="Times New Roman" w:cs="Times New Roman"/>
          <w:sz w:val="28"/>
          <w:szCs w:val="28"/>
        </w:rPr>
        <w:t>.</w:t>
      </w:r>
    </w:p>
    <w:p w14:paraId="5AE65448" w14:textId="3A8AC81D" w:rsidR="00E52227" w:rsidRPr="003E3F69" w:rsidRDefault="00E52227" w:rsidP="00E33FD8">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Якщо реалізувати зазначені заходи, у 2026 році коефіцієнт поточної ліквідності підприємства може зрости до 1,45–1,50, а коефіцієнт автономії — до 0,52–0,54. Це </w:t>
      </w:r>
      <w:r w:rsidR="00DB30CC" w:rsidRPr="003E3F69">
        <w:rPr>
          <w:rFonts w:ascii="Times New Roman" w:hAnsi="Times New Roman" w:cs="Times New Roman"/>
          <w:sz w:val="28"/>
          <w:szCs w:val="28"/>
        </w:rPr>
        <w:t>вказуватиме на можливість</w:t>
      </w:r>
      <w:r w:rsidRPr="003E3F69">
        <w:rPr>
          <w:rFonts w:ascii="Times New Roman" w:hAnsi="Times New Roman" w:cs="Times New Roman"/>
          <w:sz w:val="28"/>
          <w:szCs w:val="28"/>
        </w:rPr>
        <w:t xml:space="preserve"> повернення до </w:t>
      </w:r>
      <w:r w:rsidR="00DB30CC" w:rsidRPr="003E3F69">
        <w:rPr>
          <w:rFonts w:ascii="Times New Roman" w:hAnsi="Times New Roman" w:cs="Times New Roman"/>
          <w:sz w:val="28"/>
          <w:szCs w:val="28"/>
        </w:rPr>
        <w:t xml:space="preserve">належного (оптимального чи рекомендованого, середнього по галузі) </w:t>
      </w:r>
      <w:r w:rsidRPr="003E3F69">
        <w:rPr>
          <w:rFonts w:ascii="Times New Roman" w:hAnsi="Times New Roman" w:cs="Times New Roman"/>
          <w:sz w:val="28"/>
          <w:szCs w:val="28"/>
        </w:rPr>
        <w:t>рівня фінансової незалежності, характерного для довоєнного періоду, і створить передумови для підвищення інвестиційної привабливості. Зростання грошових потоків на 15–20% забезпечить стабільне фінансування оборотного капіталу та дозволить розширити обсяги робіт без ризику дефіциту ліквідності.</w:t>
      </w:r>
    </w:p>
    <w:p w14:paraId="21C74DA9" w14:textId="77777777" w:rsidR="00DB30CC" w:rsidRPr="003E3F69" w:rsidRDefault="00E33FD8" w:rsidP="00E52227">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b/>
          <w:bCs/>
          <w:sz w:val="28"/>
          <w:szCs w:val="28"/>
        </w:rPr>
        <w:t>Висновок.</w:t>
      </w:r>
      <w:r w:rsidRPr="003E3F69">
        <w:rPr>
          <w:rFonts w:ascii="Times New Roman" w:hAnsi="Times New Roman" w:cs="Times New Roman"/>
          <w:sz w:val="28"/>
          <w:szCs w:val="28"/>
        </w:rPr>
        <w:t xml:space="preserve"> </w:t>
      </w:r>
    </w:p>
    <w:p w14:paraId="14E91A2C" w14:textId="77777777" w:rsidR="001330EE" w:rsidRPr="001330EE" w:rsidRDefault="001330EE" w:rsidP="001330EE">
      <w:pPr>
        <w:widowControl w:val="0"/>
        <w:spacing w:after="0" w:line="360" w:lineRule="auto"/>
        <w:ind w:firstLine="708"/>
        <w:jc w:val="both"/>
        <w:rPr>
          <w:rFonts w:ascii="Times New Roman" w:hAnsi="Times New Roman" w:cs="Times New Roman"/>
          <w:sz w:val="28"/>
          <w:szCs w:val="28"/>
        </w:rPr>
      </w:pPr>
      <w:r w:rsidRPr="001330EE">
        <w:rPr>
          <w:rFonts w:ascii="Times New Roman" w:hAnsi="Times New Roman" w:cs="Times New Roman"/>
          <w:sz w:val="28"/>
          <w:szCs w:val="28"/>
        </w:rPr>
        <w:t xml:space="preserve">Узагальнюючи теоретичні підходи до підвищення ліквідності та платоспроможності підприємств будівельної галузі, слід зазначити, що ключовими стратегічними напрямами є забезпечення фінансової дисципліни, оптимізація структури оборотних активів та підвищення швидкості їх обігу, раціональне управління позиковими ресурсами, диверсифікація видів діяльності та впровадження сучасних фінансово-аналітичних інструментів. Значну роль відіграють заходи зі зміцнення грошових потоків, мінімізації дебіторської заборгованості, а також </w:t>
      </w:r>
      <w:proofErr w:type="spellStart"/>
      <w:r w:rsidRPr="001330EE">
        <w:rPr>
          <w:rFonts w:ascii="Times New Roman" w:hAnsi="Times New Roman" w:cs="Times New Roman"/>
          <w:sz w:val="28"/>
          <w:szCs w:val="28"/>
        </w:rPr>
        <w:t>цифровізація</w:t>
      </w:r>
      <w:proofErr w:type="spellEnd"/>
      <w:r w:rsidRPr="001330EE">
        <w:rPr>
          <w:rFonts w:ascii="Times New Roman" w:hAnsi="Times New Roman" w:cs="Times New Roman"/>
          <w:sz w:val="28"/>
          <w:szCs w:val="28"/>
        </w:rPr>
        <w:t xml:space="preserve"> процесів контролю ліквідності. Для </w:t>
      </w:r>
      <w:r w:rsidRPr="001330EE">
        <w:rPr>
          <w:rFonts w:ascii="Times New Roman" w:hAnsi="Times New Roman" w:cs="Times New Roman"/>
          <w:sz w:val="28"/>
          <w:szCs w:val="28"/>
        </w:rPr>
        <w:lastRenderedPageBreak/>
        <w:t>підприємств будівельної сфери важливо підтримувати оптимальний рівень запасів, ефективно управляти контрактними відносинами та використовувати можливості державних програм фінансування, особливо в умовах воєнної економіки та післявоєнного відновлення країни.</w:t>
      </w:r>
    </w:p>
    <w:p w14:paraId="4D9DCA59" w14:textId="208B4D30" w:rsidR="001330EE" w:rsidRPr="00846DC2" w:rsidRDefault="001330EE" w:rsidP="001330EE">
      <w:pPr>
        <w:widowControl w:val="0"/>
        <w:spacing w:after="0" w:line="360" w:lineRule="auto"/>
        <w:ind w:firstLine="708"/>
        <w:jc w:val="both"/>
        <w:rPr>
          <w:rFonts w:ascii="Times New Roman" w:hAnsi="Times New Roman" w:cs="Times New Roman"/>
          <w:sz w:val="28"/>
          <w:szCs w:val="28"/>
          <w:lang w:val="ru-RU"/>
        </w:rPr>
      </w:pPr>
      <w:r w:rsidRPr="001330EE">
        <w:rPr>
          <w:rFonts w:ascii="Times New Roman" w:hAnsi="Times New Roman" w:cs="Times New Roman"/>
          <w:sz w:val="28"/>
          <w:szCs w:val="28"/>
        </w:rPr>
        <w:t xml:space="preserve">Перехід до конкретних умов діяльності ТОВ «БК </w:t>
      </w:r>
      <w:proofErr w:type="spellStart"/>
      <w:r w:rsidRPr="001330EE">
        <w:rPr>
          <w:rFonts w:ascii="Times New Roman" w:hAnsi="Times New Roman" w:cs="Times New Roman"/>
          <w:sz w:val="28"/>
          <w:szCs w:val="28"/>
        </w:rPr>
        <w:t>Роднічок</w:t>
      </w:r>
      <w:proofErr w:type="spellEnd"/>
      <w:r w:rsidRPr="001330EE">
        <w:rPr>
          <w:rFonts w:ascii="Times New Roman" w:hAnsi="Times New Roman" w:cs="Times New Roman"/>
          <w:sz w:val="28"/>
          <w:szCs w:val="28"/>
        </w:rPr>
        <w:t xml:space="preserve">» дозволяє сформувати низку практичних рекомендацій, спрямованих на посилення його платоспроможності та ліквідності. Насамперед підприємству доцільно активізувати управління дебіторською заборгованістю. Запровадження системи кредитного моніторингу замовників, визначення граничних лімітів заборгованості, встановлення штрафних санкцій за прострочку оплати та надання знижок за дострокові розрахунки сприятимуть прискоренню обороту коштів. Додатковим інструментом може стати факторинг, який дозволить </w:t>
      </w:r>
      <w:proofErr w:type="spellStart"/>
      <w:r w:rsidRPr="001330EE">
        <w:rPr>
          <w:rFonts w:ascii="Times New Roman" w:hAnsi="Times New Roman" w:cs="Times New Roman"/>
          <w:sz w:val="28"/>
          <w:szCs w:val="28"/>
        </w:rPr>
        <w:t>оперативно</w:t>
      </w:r>
      <w:proofErr w:type="spellEnd"/>
      <w:r w:rsidRPr="001330EE">
        <w:rPr>
          <w:rFonts w:ascii="Times New Roman" w:hAnsi="Times New Roman" w:cs="Times New Roman"/>
          <w:sz w:val="28"/>
          <w:szCs w:val="28"/>
        </w:rPr>
        <w:t xml:space="preserve"> конвертувати дебіторську заборгованість у грошові кошти без збільшення боргового навантаження, забезпечивши стабільність поточної ліквідності</w:t>
      </w:r>
      <w:r w:rsidR="00846DC2" w:rsidRPr="00846DC2">
        <w:rPr>
          <w:rFonts w:ascii="Times New Roman" w:hAnsi="Times New Roman" w:cs="Times New Roman"/>
          <w:sz w:val="28"/>
          <w:szCs w:val="28"/>
          <w:lang w:val="ru-RU"/>
        </w:rPr>
        <w:t xml:space="preserve"> </w:t>
      </w:r>
      <w:r w:rsidR="00653F6C" w:rsidRPr="00107941">
        <w:rPr>
          <w:rFonts w:ascii="Times New Roman" w:hAnsi="Times New Roman" w:cs="Times New Roman"/>
          <w:sz w:val="28"/>
          <w:szCs w:val="28"/>
          <w:lang w:val="ru-RU"/>
        </w:rPr>
        <w:t>[12]</w:t>
      </w:r>
      <w:r w:rsidR="00846DC2" w:rsidRPr="00846DC2">
        <w:rPr>
          <w:rFonts w:ascii="Times New Roman" w:hAnsi="Times New Roman" w:cs="Times New Roman"/>
          <w:sz w:val="28"/>
          <w:szCs w:val="28"/>
          <w:lang w:val="ru-RU"/>
        </w:rPr>
        <w:t>.</w:t>
      </w:r>
    </w:p>
    <w:p w14:paraId="3968934C" w14:textId="7A6733D2" w:rsidR="001330EE" w:rsidRPr="00846DC2" w:rsidRDefault="001330EE" w:rsidP="001330EE">
      <w:pPr>
        <w:widowControl w:val="0"/>
        <w:spacing w:after="0" w:line="360" w:lineRule="auto"/>
        <w:ind w:firstLine="708"/>
        <w:jc w:val="both"/>
        <w:rPr>
          <w:rFonts w:ascii="Times New Roman" w:hAnsi="Times New Roman" w:cs="Times New Roman"/>
          <w:sz w:val="28"/>
          <w:szCs w:val="28"/>
          <w:lang w:val="ru-RU"/>
        </w:rPr>
      </w:pPr>
      <w:r w:rsidRPr="001330EE">
        <w:rPr>
          <w:rFonts w:ascii="Times New Roman" w:hAnsi="Times New Roman" w:cs="Times New Roman"/>
          <w:sz w:val="28"/>
          <w:szCs w:val="28"/>
        </w:rPr>
        <w:t>Важливим є також удосконалення структури активів і зобов’язань. Доцільно поступово підвищувати частку грошових коштів та короткострокових фінансових інвестицій в складі оборотних активів, скорочуючи надлишкові запаси та оптимізуючи обсяг незавершеного виробництва (враховуючи специфіку будівельної галузі, де запаси не можуть бути мінімальними). З боку пасивів рекомендовано здійснювати перехід від короткострокових кредитів до довгострокових, а також активно використовувати можливості державних та міжнародних програм фінансування, що дозволить зменшити поточне навантаження на ліквідність і забезпечити більш прогнозовану структуру грошових потоків</w:t>
      </w:r>
      <w:r w:rsidR="00846DC2" w:rsidRPr="00846DC2">
        <w:rPr>
          <w:rFonts w:ascii="Times New Roman" w:hAnsi="Times New Roman" w:cs="Times New Roman"/>
          <w:sz w:val="28"/>
          <w:szCs w:val="28"/>
          <w:lang w:val="ru-RU"/>
        </w:rPr>
        <w:t xml:space="preserve"> </w:t>
      </w:r>
      <w:r w:rsidR="00B768DA" w:rsidRPr="00107941">
        <w:rPr>
          <w:rFonts w:ascii="Times New Roman" w:hAnsi="Times New Roman" w:cs="Times New Roman"/>
          <w:sz w:val="28"/>
          <w:szCs w:val="28"/>
        </w:rPr>
        <w:t>[1]</w:t>
      </w:r>
      <w:r w:rsidR="00846DC2" w:rsidRPr="00846DC2">
        <w:rPr>
          <w:rFonts w:ascii="Times New Roman" w:hAnsi="Times New Roman" w:cs="Times New Roman"/>
          <w:sz w:val="28"/>
          <w:szCs w:val="28"/>
          <w:lang w:val="ru-RU"/>
        </w:rPr>
        <w:t>.</w:t>
      </w:r>
    </w:p>
    <w:p w14:paraId="7BE791B7" w14:textId="07501EF7" w:rsidR="001330EE" w:rsidRPr="001330EE" w:rsidRDefault="001330EE" w:rsidP="001330EE">
      <w:pPr>
        <w:widowControl w:val="0"/>
        <w:spacing w:after="0" w:line="360" w:lineRule="auto"/>
        <w:ind w:firstLine="708"/>
        <w:jc w:val="both"/>
        <w:rPr>
          <w:rFonts w:ascii="Times New Roman" w:hAnsi="Times New Roman" w:cs="Times New Roman"/>
          <w:sz w:val="28"/>
          <w:szCs w:val="28"/>
        </w:rPr>
      </w:pPr>
      <w:r w:rsidRPr="001330EE">
        <w:rPr>
          <w:rFonts w:ascii="Times New Roman" w:hAnsi="Times New Roman" w:cs="Times New Roman"/>
          <w:sz w:val="28"/>
          <w:szCs w:val="28"/>
        </w:rPr>
        <w:t>Важливим резервом підвищення платоспроможності є впровадження системи фінансового контролінгу. Регулярне прогнозування грошових потоків, складання бюджету ліквідності, аналіз відхилень та управління фінансовими ризиками дозволять уникнути касових розривів і приймати більш обґрунтовані управлінські рішення.</w:t>
      </w:r>
    </w:p>
    <w:p w14:paraId="7DCE01C7" w14:textId="77777777" w:rsidR="001330EE" w:rsidRPr="001330EE" w:rsidRDefault="001330EE" w:rsidP="001330EE">
      <w:pPr>
        <w:widowControl w:val="0"/>
        <w:spacing w:after="0" w:line="360" w:lineRule="auto"/>
        <w:ind w:firstLine="708"/>
        <w:jc w:val="both"/>
        <w:rPr>
          <w:rFonts w:ascii="Times New Roman" w:hAnsi="Times New Roman" w:cs="Times New Roman"/>
          <w:sz w:val="28"/>
          <w:szCs w:val="28"/>
        </w:rPr>
      </w:pPr>
      <w:r w:rsidRPr="001330EE">
        <w:rPr>
          <w:rFonts w:ascii="Times New Roman" w:hAnsi="Times New Roman" w:cs="Times New Roman"/>
          <w:sz w:val="28"/>
          <w:szCs w:val="28"/>
        </w:rPr>
        <w:t xml:space="preserve">З метою зміцнення ринкових позицій ТОВ «БК </w:t>
      </w:r>
      <w:proofErr w:type="spellStart"/>
      <w:r w:rsidRPr="001330EE">
        <w:rPr>
          <w:rFonts w:ascii="Times New Roman" w:hAnsi="Times New Roman" w:cs="Times New Roman"/>
          <w:sz w:val="28"/>
          <w:szCs w:val="28"/>
        </w:rPr>
        <w:t>Роднічок</w:t>
      </w:r>
      <w:proofErr w:type="spellEnd"/>
      <w:r w:rsidRPr="001330EE">
        <w:rPr>
          <w:rFonts w:ascii="Times New Roman" w:hAnsi="Times New Roman" w:cs="Times New Roman"/>
          <w:sz w:val="28"/>
          <w:szCs w:val="28"/>
        </w:rPr>
        <w:t xml:space="preserve">» може розширити </w:t>
      </w:r>
      <w:r w:rsidRPr="001330EE">
        <w:rPr>
          <w:rFonts w:ascii="Times New Roman" w:hAnsi="Times New Roman" w:cs="Times New Roman"/>
          <w:sz w:val="28"/>
          <w:szCs w:val="28"/>
        </w:rPr>
        <w:lastRenderedPageBreak/>
        <w:t xml:space="preserve">спектр діяльності у напрямках енергоефективного та малоповерхового будівництва, виконання ремонтно-відновлювальних робіт, надання послуг оренди техніки та </w:t>
      </w:r>
      <w:proofErr w:type="spellStart"/>
      <w:r w:rsidRPr="001330EE">
        <w:rPr>
          <w:rFonts w:ascii="Times New Roman" w:hAnsi="Times New Roman" w:cs="Times New Roman"/>
          <w:sz w:val="28"/>
          <w:szCs w:val="28"/>
        </w:rPr>
        <w:t>проєктного</w:t>
      </w:r>
      <w:proofErr w:type="spellEnd"/>
      <w:r w:rsidRPr="001330EE">
        <w:rPr>
          <w:rFonts w:ascii="Times New Roman" w:hAnsi="Times New Roman" w:cs="Times New Roman"/>
          <w:sz w:val="28"/>
          <w:szCs w:val="28"/>
        </w:rPr>
        <w:t xml:space="preserve"> супроводу. Ці види діяльності характеризуються коротшим фінансовим циклом та здатні забезпечити додаткові грошові надходження, що позитивно впливатиме на ліквідність підприємства. Участь у програмах «</w:t>
      </w:r>
      <w:proofErr w:type="spellStart"/>
      <w:r w:rsidRPr="001330EE">
        <w:rPr>
          <w:rFonts w:ascii="Times New Roman" w:hAnsi="Times New Roman" w:cs="Times New Roman"/>
          <w:sz w:val="28"/>
          <w:szCs w:val="28"/>
        </w:rPr>
        <w:t>єВідновлення</w:t>
      </w:r>
      <w:proofErr w:type="spellEnd"/>
      <w:r w:rsidRPr="001330EE">
        <w:rPr>
          <w:rFonts w:ascii="Times New Roman" w:hAnsi="Times New Roman" w:cs="Times New Roman"/>
          <w:sz w:val="28"/>
          <w:szCs w:val="28"/>
        </w:rPr>
        <w:t>» та «Велике Відновлення» може надати доступ до пільгового фінансування та довгострокових контрактів, що також зміцнить фінансову стійкість і збільшить обсяги операційної діяльності.</w:t>
      </w:r>
    </w:p>
    <w:p w14:paraId="3CD2CBF4" w14:textId="77777777" w:rsidR="00B33B4C" w:rsidRPr="00B33B4C" w:rsidRDefault="00B33B4C" w:rsidP="00B33B4C">
      <w:pPr>
        <w:widowControl w:val="0"/>
        <w:spacing w:after="0" w:line="360" w:lineRule="auto"/>
        <w:ind w:firstLine="708"/>
        <w:jc w:val="both"/>
        <w:rPr>
          <w:rFonts w:ascii="Times New Roman" w:hAnsi="Times New Roman" w:cs="Times New Roman"/>
          <w:sz w:val="28"/>
          <w:szCs w:val="28"/>
        </w:rPr>
      </w:pPr>
      <w:r w:rsidRPr="00B33B4C">
        <w:rPr>
          <w:rFonts w:ascii="Times New Roman" w:hAnsi="Times New Roman" w:cs="Times New Roman"/>
          <w:sz w:val="28"/>
          <w:szCs w:val="28"/>
        </w:rPr>
        <w:t>Важливим є формування резервного фонду ліквідності шляхом регулярного відрахування частини прибутку. Це створить фінансовий захист у період затримок платежів. Додатково підприємству варто посилювати компетентність управлінського персоналу у сфері планування та контролінгу.</w:t>
      </w:r>
    </w:p>
    <w:p w14:paraId="7DE72A3A" w14:textId="77777777" w:rsidR="00B33B4C" w:rsidRPr="00B33B4C" w:rsidRDefault="00B33B4C" w:rsidP="00B33B4C">
      <w:pPr>
        <w:widowControl w:val="0"/>
        <w:spacing w:after="0" w:line="360" w:lineRule="auto"/>
        <w:ind w:firstLine="708"/>
        <w:jc w:val="both"/>
        <w:rPr>
          <w:rFonts w:ascii="Times New Roman" w:hAnsi="Times New Roman" w:cs="Times New Roman"/>
          <w:sz w:val="28"/>
          <w:szCs w:val="28"/>
        </w:rPr>
      </w:pPr>
      <w:r w:rsidRPr="00B33B4C">
        <w:rPr>
          <w:rFonts w:ascii="Times New Roman" w:hAnsi="Times New Roman" w:cs="Times New Roman"/>
          <w:sz w:val="28"/>
          <w:szCs w:val="28"/>
        </w:rPr>
        <w:t>У разі реалізації запропонованих заходів коефіцієнт поточної ліквідності може зрости до 1,45–1,50, а автономії — до 0,52–0,54. Це свідчитиме про посилення фінансової незалежності та підвищення інвестиційної привабливості підприємства.</w:t>
      </w:r>
    </w:p>
    <w:p w14:paraId="576E2519" w14:textId="0DADE4FA" w:rsidR="00664C7A" w:rsidRDefault="00E52227" w:rsidP="00E52227">
      <w:pPr>
        <w:widowControl w:val="0"/>
        <w:spacing w:after="0" w:line="360" w:lineRule="auto"/>
        <w:ind w:firstLine="708"/>
        <w:jc w:val="both"/>
        <w:rPr>
          <w:rFonts w:ascii="Times New Roman" w:hAnsi="Times New Roman" w:cs="Times New Roman"/>
          <w:sz w:val="28"/>
          <w:szCs w:val="28"/>
        </w:rPr>
      </w:pPr>
      <w:r w:rsidRPr="003E3F69">
        <w:rPr>
          <w:rFonts w:ascii="Times New Roman" w:hAnsi="Times New Roman" w:cs="Times New Roman"/>
          <w:sz w:val="28"/>
          <w:szCs w:val="28"/>
        </w:rPr>
        <w:t xml:space="preserve">Таким чином, діяльність ТОВ «БК </w:t>
      </w:r>
      <w:proofErr w:type="spellStart"/>
      <w:r w:rsidRPr="003E3F69">
        <w:rPr>
          <w:rFonts w:ascii="Times New Roman" w:hAnsi="Times New Roman" w:cs="Times New Roman"/>
          <w:sz w:val="28"/>
          <w:szCs w:val="28"/>
        </w:rPr>
        <w:t>Роднічок</w:t>
      </w:r>
      <w:proofErr w:type="spellEnd"/>
      <w:r w:rsidRPr="003E3F69">
        <w:rPr>
          <w:rFonts w:ascii="Times New Roman" w:hAnsi="Times New Roman" w:cs="Times New Roman"/>
          <w:sz w:val="28"/>
          <w:szCs w:val="28"/>
        </w:rPr>
        <w:t>» у 2021–2025 роках демонструє приклад гнучкого та продуманого управління фінансами в умовах воєнного часу. Підприємство не лише зберегло платоспроможність, а й поступово зміцнило свої позиції на ринку. Надалі стратегічне завдання компанії полягає у вдосконаленні структури капіталу, розвитку фінансових технологій і пошуку нових джерел фінансування, що дозволить не просто вижити, а стати активним учасником відбудови країни. Досвід цього підприємства підтверджує: фінансова стабільність у кризових умовах — це не результат сприятливих обставин, а наслідок системного аналізу, гнучкого управління та стратегічного бачення майбутнього.</w:t>
      </w:r>
    </w:p>
    <w:p w14:paraId="692E70EE" w14:textId="77777777" w:rsidR="00F3526C" w:rsidRPr="00F3526C" w:rsidRDefault="00F3526C" w:rsidP="00F3526C">
      <w:pPr>
        <w:widowControl w:val="0"/>
        <w:spacing w:after="0" w:line="360" w:lineRule="auto"/>
        <w:ind w:firstLine="708"/>
        <w:jc w:val="both"/>
        <w:rPr>
          <w:rFonts w:ascii="Times New Roman" w:hAnsi="Times New Roman" w:cs="Times New Roman"/>
          <w:b/>
          <w:bCs/>
          <w:sz w:val="28"/>
          <w:szCs w:val="28"/>
        </w:rPr>
      </w:pPr>
      <w:r w:rsidRPr="00F3526C">
        <w:rPr>
          <w:rFonts w:ascii="Times New Roman" w:hAnsi="Times New Roman" w:cs="Times New Roman"/>
          <w:b/>
          <w:bCs/>
          <w:sz w:val="28"/>
          <w:szCs w:val="28"/>
        </w:rPr>
        <w:t>Апробація результатів дослідження.</w:t>
      </w:r>
    </w:p>
    <w:p w14:paraId="5C235499" w14:textId="77777777" w:rsidR="00090E2D" w:rsidRDefault="00090E2D" w:rsidP="00090E2D">
      <w:pPr>
        <w:widowControl w:val="0"/>
        <w:spacing w:after="0" w:line="360" w:lineRule="auto"/>
        <w:ind w:firstLine="708"/>
        <w:jc w:val="both"/>
        <w:rPr>
          <w:rFonts w:ascii="Times New Roman" w:hAnsi="Times New Roman" w:cs="Times New Roman"/>
          <w:sz w:val="28"/>
          <w:szCs w:val="28"/>
        </w:rPr>
      </w:pPr>
      <w:r w:rsidRPr="00090E2D">
        <w:rPr>
          <w:rFonts w:ascii="Times New Roman" w:hAnsi="Times New Roman" w:cs="Times New Roman"/>
          <w:sz w:val="28"/>
          <w:szCs w:val="28"/>
        </w:rPr>
        <w:t xml:space="preserve">Основні положення, аналітичні висновки та рекомендації, отримані в процесі дослідження платоспроможності та ліквідності ТОВ «БК </w:t>
      </w:r>
      <w:proofErr w:type="spellStart"/>
      <w:r w:rsidRPr="00090E2D">
        <w:rPr>
          <w:rFonts w:ascii="Times New Roman" w:hAnsi="Times New Roman" w:cs="Times New Roman"/>
          <w:sz w:val="28"/>
          <w:szCs w:val="28"/>
        </w:rPr>
        <w:t>Роднічок</w:t>
      </w:r>
      <w:proofErr w:type="spellEnd"/>
      <w:r w:rsidRPr="00090E2D">
        <w:rPr>
          <w:rFonts w:ascii="Times New Roman" w:hAnsi="Times New Roman" w:cs="Times New Roman"/>
          <w:sz w:val="28"/>
          <w:szCs w:val="28"/>
        </w:rPr>
        <w:t xml:space="preserve">», пройшли апробацію на кафедрі фінансів і кредиту Чернівецького національного університету імені Юрія Федьковича під час попереднього перегляду наукової </w:t>
      </w:r>
      <w:r w:rsidRPr="00090E2D">
        <w:rPr>
          <w:rFonts w:ascii="Times New Roman" w:hAnsi="Times New Roman" w:cs="Times New Roman"/>
          <w:sz w:val="28"/>
          <w:szCs w:val="28"/>
        </w:rPr>
        <w:lastRenderedPageBreak/>
        <w:t>роботи. У ході обговорення було підтверджено актуальність дослідження, коректність використаних методів фінансового аналізу та практичну цінність запропонованих рекомендацій щодо підвищення фінансової стійкості підприємства в умовах економічної нестабільності. Отримані результати схвалено як такі, що можуть бути використані у подальших наукових дослідженнях, при підготовці аналітичних матеріалів та у практичній діяльності підприємств будівельної галузі.</w:t>
      </w:r>
    </w:p>
    <w:p w14:paraId="36F1E6AC" w14:textId="1B8BC578" w:rsidR="003E3F69" w:rsidRPr="00483A93" w:rsidRDefault="00C4472E" w:rsidP="00483A93">
      <w:pPr>
        <w:widowControl w:val="0"/>
        <w:spacing w:after="0" w:line="360" w:lineRule="auto"/>
        <w:jc w:val="center"/>
        <w:rPr>
          <w:rFonts w:ascii="Times New Roman" w:hAnsi="Times New Roman" w:cs="Times New Roman"/>
          <w:b/>
          <w:bCs/>
          <w:sz w:val="28"/>
          <w:szCs w:val="28"/>
        </w:rPr>
      </w:pPr>
      <w:r w:rsidRPr="00483A93">
        <w:rPr>
          <w:rFonts w:ascii="Times New Roman" w:hAnsi="Times New Roman" w:cs="Times New Roman"/>
          <w:b/>
          <w:bCs/>
          <w:sz w:val="28"/>
          <w:szCs w:val="28"/>
        </w:rPr>
        <w:t>Список використаних джерел:</w:t>
      </w:r>
    </w:p>
    <w:p w14:paraId="6088AC88" w14:textId="6160AEB5"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proofErr w:type="spellStart"/>
      <w:r w:rsidRPr="00846DC2">
        <w:rPr>
          <w:rFonts w:ascii="Times New Roman" w:hAnsi="Times New Roman" w:cs="Times New Roman"/>
          <w:sz w:val="28"/>
          <w:szCs w:val="28"/>
          <w:highlight w:val="yellow"/>
        </w:rPr>
        <w:t>Боголіб</w:t>
      </w:r>
      <w:proofErr w:type="spellEnd"/>
      <w:r w:rsidRPr="00846DC2">
        <w:rPr>
          <w:rFonts w:ascii="Times New Roman" w:hAnsi="Times New Roman" w:cs="Times New Roman"/>
          <w:sz w:val="28"/>
          <w:szCs w:val="28"/>
          <w:highlight w:val="yellow"/>
        </w:rPr>
        <w:t xml:space="preserve"> Т. М. Фінансове забезпечення розвитку підприємств в умовах економічної нестабільності. Київ: КНЕУ, 2022.</w:t>
      </w:r>
      <w:r w:rsidR="00846DC2" w:rsidRPr="00846DC2">
        <w:rPr>
          <w:rFonts w:ascii="Times New Roman" w:hAnsi="Times New Roman" w:cs="Times New Roman"/>
          <w:sz w:val="28"/>
          <w:szCs w:val="28"/>
          <w:highlight w:val="yellow"/>
          <w:lang w:val="en-US"/>
        </w:rPr>
        <w:t xml:space="preserve"> 345c</w:t>
      </w:r>
      <w:r w:rsidR="00846DC2" w:rsidRPr="00846DC2">
        <w:rPr>
          <w:rFonts w:ascii="Times New Roman" w:hAnsi="Times New Roman" w:cs="Times New Roman"/>
          <w:sz w:val="28"/>
          <w:szCs w:val="28"/>
          <w:highlight w:val="yellow"/>
        </w:rPr>
        <w:t>.</w:t>
      </w:r>
    </w:p>
    <w:p w14:paraId="764FBB23" w14:textId="7B3D3DD8"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proofErr w:type="spellStart"/>
      <w:r w:rsidRPr="00846DC2">
        <w:rPr>
          <w:rFonts w:ascii="Times New Roman" w:hAnsi="Times New Roman" w:cs="Times New Roman"/>
          <w:sz w:val="28"/>
          <w:szCs w:val="28"/>
          <w:highlight w:val="yellow"/>
        </w:rPr>
        <w:t>Бутинець</w:t>
      </w:r>
      <w:proofErr w:type="spellEnd"/>
      <w:r w:rsidRPr="00846DC2">
        <w:rPr>
          <w:rFonts w:ascii="Times New Roman" w:hAnsi="Times New Roman" w:cs="Times New Roman"/>
          <w:sz w:val="28"/>
          <w:szCs w:val="28"/>
          <w:highlight w:val="yellow"/>
        </w:rPr>
        <w:t xml:space="preserve"> Ф. Ф. Економічний аналіз</w:t>
      </w:r>
      <w:r w:rsidR="00846DC2" w:rsidRPr="00846DC2">
        <w:rPr>
          <w:rFonts w:ascii="Times New Roman" w:hAnsi="Times New Roman" w:cs="Times New Roman"/>
          <w:sz w:val="28"/>
          <w:szCs w:val="28"/>
          <w:highlight w:val="yellow"/>
        </w:rPr>
        <w:t xml:space="preserve">: </w:t>
      </w:r>
      <w:proofErr w:type="spellStart"/>
      <w:r w:rsidR="00846DC2" w:rsidRPr="00846DC2">
        <w:rPr>
          <w:rFonts w:ascii="Times New Roman" w:hAnsi="Times New Roman" w:cs="Times New Roman"/>
          <w:sz w:val="28"/>
          <w:szCs w:val="28"/>
          <w:highlight w:val="yellow"/>
        </w:rPr>
        <w:t>Навч</w:t>
      </w:r>
      <w:r w:rsidRPr="00846DC2">
        <w:rPr>
          <w:rFonts w:ascii="Times New Roman" w:hAnsi="Times New Roman" w:cs="Times New Roman"/>
          <w:sz w:val="28"/>
          <w:szCs w:val="28"/>
          <w:highlight w:val="yellow"/>
        </w:rPr>
        <w:t>Житомир</w:t>
      </w:r>
      <w:proofErr w:type="spellEnd"/>
      <w:r w:rsidRPr="00846DC2">
        <w:rPr>
          <w:rFonts w:ascii="Times New Roman" w:hAnsi="Times New Roman" w:cs="Times New Roman"/>
          <w:sz w:val="28"/>
          <w:szCs w:val="28"/>
          <w:highlight w:val="yellow"/>
        </w:rPr>
        <w:t>: Рута, 2019.</w:t>
      </w:r>
    </w:p>
    <w:p w14:paraId="6BCB36D5" w14:textId="77777777"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proofErr w:type="spellStart"/>
      <w:r w:rsidRPr="00846DC2">
        <w:rPr>
          <w:rFonts w:ascii="Times New Roman" w:hAnsi="Times New Roman" w:cs="Times New Roman"/>
          <w:sz w:val="28"/>
          <w:szCs w:val="28"/>
          <w:highlight w:val="yellow"/>
        </w:rPr>
        <w:t>Варналій</w:t>
      </w:r>
      <w:proofErr w:type="spellEnd"/>
      <w:r w:rsidRPr="00846DC2">
        <w:rPr>
          <w:rFonts w:ascii="Times New Roman" w:hAnsi="Times New Roman" w:cs="Times New Roman"/>
          <w:sz w:val="28"/>
          <w:szCs w:val="28"/>
          <w:highlight w:val="yellow"/>
        </w:rPr>
        <w:t xml:space="preserve"> З. С., </w:t>
      </w:r>
      <w:proofErr w:type="spellStart"/>
      <w:r w:rsidRPr="00846DC2">
        <w:rPr>
          <w:rFonts w:ascii="Times New Roman" w:hAnsi="Times New Roman" w:cs="Times New Roman"/>
          <w:sz w:val="28"/>
          <w:szCs w:val="28"/>
          <w:highlight w:val="yellow"/>
        </w:rPr>
        <w:t>Красільник</w:t>
      </w:r>
      <w:proofErr w:type="spellEnd"/>
      <w:r w:rsidRPr="00846DC2">
        <w:rPr>
          <w:rFonts w:ascii="Times New Roman" w:hAnsi="Times New Roman" w:cs="Times New Roman"/>
          <w:sz w:val="28"/>
          <w:szCs w:val="28"/>
          <w:highlight w:val="yellow"/>
        </w:rPr>
        <w:t xml:space="preserve"> О. О. Фінансова стійкість підприємств у трансформаційних умовах. — Київ: КНЕУ, 2021.</w:t>
      </w:r>
    </w:p>
    <w:p w14:paraId="15581232" w14:textId="53265F53"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r w:rsidRPr="00846DC2">
        <w:rPr>
          <w:rFonts w:ascii="Times New Roman" w:hAnsi="Times New Roman" w:cs="Times New Roman"/>
          <w:sz w:val="28"/>
          <w:szCs w:val="28"/>
          <w:highlight w:val="yellow"/>
        </w:rPr>
        <w:t>Дехтяр Н. А. Фінансова стабільність підприємств: механізм забезпечення. — Харків: ХНЕУ, 2020.</w:t>
      </w:r>
    </w:p>
    <w:p w14:paraId="6EBEB50B" w14:textId="77777777"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r w:rsidRPr="00846DC2">
        <w:rPr>
          <w:rFonts w:ascii="Times New Roman" w:hAnsi="Times New Roman" w:cs="Times New Roman"/>
          <w:sz w:val="28"/>
          <w:szCs w:val="28"/>
          <w:highlight w:val="yellow"/>
        </w:rPr>
        <w:t>Закон України «Про бухгалтерський облік та фінансову звітність в Україні» від 16.07.1999 №996-XIV.</w:t>
      </w:r>
    </w:p>
    <w:p w14:paraId="25345FA2" w14:textId="77777777"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r w:rsidRPr="00846DC2">
        <w:rPr>
          <w:rFonts w:ascii="Times New Roman" w:hAnsi="Times New Roman" w:cs="Times New Roman"/>
          <w:sz w:val="28"/>
          <w:szCs w:val="28"/>
          <w:highlight w:val="yellow"/>
        </w:rPr>
        <w:t>Закон України «Про господарські товариства» від 19.09.1991 №1576-XII.</w:t>
      </w:r>
    </w:p>
    <w:p w14:paraId="387533B4" w14:textId="77777777" w:rsidR="00C4472E" w:rsidRPr="00846DC2"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highlight w:val="yellow"/>
        </w:rPr>
      </w:pPr>
      <w:r w:rsidRPr="00846DC2">
        <w:rPr>
          <w:rFonts w:ascii="Times New Roman" w:hAnsi="Times New Roman" w:cs="Times New Roman"/>
          <w:sz w:val="28"/>
          <w:szCs w:val="28"/>
          <w:highlight w:val="yellow"/>
        </w:rPr>
        <w:t>Кириленко О. В. Фінансовий механізм підприємств в умовах невизначеності. — Київ: КНЕУ, 2021.</w:t>
      </w:r>
    </w:p>
    <w:p w14:paraId="5F3C3C68" w14:textId="77777777" w:rsidR="00C4472E" w:rsidRPr="00483A93"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r w:rsidRPr="00483A93">
        <w:rPr>
          <w:rFonts w:ascii="Times New Roman" w:hAnsi="Times New Roman" w:cs="Times New Roman"/>
          <w:sz w:val="28"/>
          <w:szCs w:val="28"/>
        </w:rPr>
        <w:t>Міністерство економіки України. Аналітичні матеріали щодо стану бізнесу в умовах воєнного стану. — 2023–2025.</w:t>
      </w:r>
    </w:p>
    <w:p w14:paraId="50B76032" w14:textId="77777777" w:rsidR="00C4472E" w:rsidRPr="00483A93"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r w:rsidRPr="00483A93">
        <w:rPr>
          <w:rFonts w:ascii="Times New Roman" w:hAnsi="Times New Roman" w:cs="Times New Roman"/>
          <w:sz w:val="28"/>
          <w:szCs w:val="28"/>
        </w:rPr>
        <w:t>Національні положення (стандарти) бухгалтерського обліку в Україні.</w:t>
      </w:r>
    </w:p>
    <w:p w14:paraId="0E57EFF8" w14:textId="152BBF0C" w:rsidR="00C4472E" w:rsidRPr="00483A93"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proofErr w:type="spellStart"/>
      <w:r w:rsidRPr="00483A93">
        <w:rPr>
          <w:rFonts w:ascii="Times New Roman" w:hAnsi="Times New Roman" w:cs="Times New Roman"/>
          <w:sz w:val="28"/>
          <w:szCs w:val="28"/>
        </w:rPr>
        <w:t>Петруха</w:t>
      </w:r>
      <w:proofErr w:type="spellEnd"/>
      <w:r w:rsidRPr="00483A93">
        <w:rPr>
          <w:rFonts w:ascii="Times New Roman" w:hAnsi="Times New Roman" w:cs="Times New Roman"/>
          <w:sz w:val="28"/>
          <w:szCs w:val="28"/>
        </w:rPr>
        <w:t xml:space="preserve"> Н. М. Теоретико-методичні аспекти оцінки фінансової стійкості підприємств</w:t>
      </w:r>
      <w:r w:rsidR="00846DC2">
        <w:rPr>
          <w:rFonts w:ascii="Times New Roman" w:hAnsi="Times New Roman" w:cs="Times New Roman"/>
          <w:sz w:val="28"/>
          <w:szCs w:val="28"/>
        </w:rPr>
        <w:t xml:space="preserve">. </w:t>
      </w:r>
      <w:r w:rsidRPr="00846DC2">
        <w:rPr>
          <w:rFonts w:ascii="Times New Roman" w:hAnsi="Times New Roman" w:cs="Times New Roman"/>
          <w:i/>
          <w:iCs/>
          <w:sz w:val="28"/>
          <w:szCs w:val="28"/>
        </w:rPr>
        <w:t>Фінанси України</w:t>
      </w:r>
      <w:r w:rsidRPr="00483A93">
        <w:rPr>
          <w:rFonts w:ascii="Times New Roman" w:hAnsi="Times New Roman" w:cs="Times New Roman"/>
          <w:sz w:val="28"/>
          <w:szCs w:val="28"/>
        </w:rPr>
        <w:t>. 2023. №4. С. 45–55.</w:t>
      </w:r>
    </w:p>
    <w:p w14:paraId="1F9FA85C" w14:textId="77777777" w:rsidR="00C4472E" w:rsidRPr="00483A93"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proofErr w:type="spellStart"/>
      <w:r w:rsidRPr="00483A93">
        <w:rPr>
          <w:rFonts w:ascii="Times New Roman" w:hAnsi="Times New Roman" w:cs="Times New Roman"/>
          <w:sz w:val="28"/>
          <w:szCs w:val="28"/>
        </w:rPr>
        <w:t>International</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Monetary</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Fund</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Ukraine</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Corporate</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Liquidity</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and</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Solvency</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Risks</w:t>
      </w:r>
      <w:proofErr w:type="spellEnd"/>
      <w:r w:rsidRPr="00483A93">
        <w:rPr>
          <w:rFonts w:ascii="Times New Roman" w:hAnsi="Times New Roman" w:cs="Times New Roman"/>
          <w:sz w:val="28"/>
          <w:szCs w:val="28"/>
        </w:rPr>
        <w:t xml:space="preserve">. — IMF </w:t>
      </w:r>
      <w:proofErr w:type="spellStart"/>
      <w:r w:rsidRPr="00483A93">
        <w:rPr>
          <w:rFonts w:ascii="Times New Roman" w:hAnsi="Times New Roman" w:cs="Times New Roman"/>
          <w:sz w:val="28"/>
          <w:szCs w:val="28"/>
        </w:rPr>
        <w:t>Report</w:t>
      </w:r>
      <w:proofErr w:type="spellEnd"/>
      <w:r w:rsidRPr="00483A93">
        <w:rPr>
          <w:rFonts w:ascii="Times New Roman" w:hAnsi="Times New Roman" w:cs="Times New Roman"/>
          <w:sz w:val="28"/>
          <w:szCs w:val="28"/>
        </w:rPr>
        <w:t>, 2023.</w:t>
      </w:r>
    </w:p>
    <w:p w14:paraId="31A37DD6" w14:textId="4251FD43" w:rsidR="00AE314D" w:rsidRPr="00483A93" w:rsidRDefault="00483A93"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proofErr w:type="spellStart"/>
      <w:r w:rsidRPr="00483A93">
        <w:rPr>
          <w:rFonts w:ascii="Times New Roman" w:hAnsi="Times New Roman" w:cs="Times New Roman"/>
          <w:sz w:val="28"/>
          <w:szCs w:val="28"/>
        </w:rPr>
        <w:t>Korbutiak</w:t>
      </w:r>
      <w:proofErr w:type="spellEnd"/>
      <w:r w:rsidRPr="00483A93">
        <w:rPr>
          <w:rFonts w:ascii="Times New Roman" w:hAnsi="Times New Roman" w:cs="Times New Roman"/>
          <w:sz w:val="28"/>
          <w:szCs w:val="28"/>
        </w:rPr>
        <w:t xml:space="preserve">, A., </w:t>
      </w:r>
      <w:proofErr w:type="spellStart"/>
      <w:r w:rsidRPr="00483A93">
        <w:rPr>
          <w:rFonts w:ascii="Times New Roman" w:hAnsi="Times New Roman" w:cs="Times New Roman"/>
          <w:sz w:val="28"/>
          <w:szCs w:val="28"/>
        </w:rPr>
        <w:t>Maslak</w:t>
      </w:r>
      <w:proofErr w:type="spellEnd"/>
      <w:r w:rsidRPr="00483A93">
        <w:rPr>
          <w:rFonts w:ascii="Times New Roman" w:hAnsi="Times New Roman" w:cs="Times New Roman"/>
          <w:sz w:val="28"/>
          <w:szCs w:val="28"/>
        </w:rPr>
        <w:t xml:space="preserve">, N., </w:t>
      </w:r>
      <w:proofErr w:type="spellStart"/>
      <w:r w:rsidRPr="00483A93">
        <w:rPr>
          <w:rFonts w:ascii="Times New Roman" w:hAnsi="Times New Roman" w:cs="Times New Roman"/>
          <w:sz w:val="28"/>
          <w:szCs w:val="28"/>
        </w:rPr>
        <w:t>Briukhovetska</w:t>
      </w:r>
      <w:proofErr w:type="spellEnd"/>
      <w:r w:rsidRPr="00483A93">
        <w:rPr>
          <w:rFonts w:ascii="Times New Roman" w:hAnsi="Times New Roman" w:cs="Times New Roman"/>
          <w:sz w:val="28"/>
          <w:szCs w:val="28"/>
        </w:rPr>
        <w:t xml:space="preserve">, I., </w:t>
      </w:r>
      <w:proofErr w:type="spellStart"/>
      <w:r w:rsidRPr="00483A93">
        <w:rPr>
          <w:rFonts w:ascii="Times New Roman" w:hAnsi="Times New Roman" w:cs="Times New Roman"/>
          <w:sz w:val="28"/>
          <w:szCs w:val="28"/>
        </w:rPr>
        <w:t>Skornyakova</w:t>
      </w:r>
      <w:proofErr w:type="spellEnd"/>
      <w:r w:rsidRPr="00483A93">
        <w:rPr>
          <w:rFonts w:ascii="Times New Roman" w:hAnsi="Times New Roman" w:cs="Times New Roman"/>
          <w:sz w:val="28"/>
          <w:szCs w:val="28"/>
        </w:rPr>
        <w:t xml:space="preserve">, Y., &amp; </w:t>
      </w:r>
      <w:proofErr w:type="spellStart"/>
      <w:r w:rsidRPr="00483A93">
        <w:rPr>
          <w:rFonts w:ascii="Times New Roman" w:hAnsi="Times New Roman" w:cs="Times New Roman"/>
          <w:sz w:val="28"/>
          <w:szCs w:val="28"/>
        </w:rPr>
        <w:t>Lyzak</w:t>
      </w:r>
      <w:proofErr w:type="spellEnd"/>
      <w:r w:rsidRPr="00483A93">
        <w:rPr>
          <w:rFonts w:ascii="Times New Roman" w:hAnsi="Times New Roman" w:cs="Times New Roman"/>
          <w:sz w:val="28"/>
          <w:szCs w:val="28"/>
        </w:rPr>
        <w:t xml:space="preserve">, M. (2024). </w:t>
      </w:r>
      <w:proofErr w:type="spellStart"/>
      <w:r w:rsidRPr="00483A93">
        <w:rPr>
          <w:rFonts w:ascii="Times New Roman" w:hAnsi="Times New Roman" w:cs="Times New Roman"/>
          <w:sz w:val="28"/>
          <w:szCs w:val="28"/>
        </w:rPr>
        <w:t>Controlling-based</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organizational</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and</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economic</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mechanism</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of</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enterprise</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activity</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planning</w:t>
      </w:r>
      <w:proofErr w:type="spellEnd"/>
      <w:r w:rsidRPr="00483A93">
        <w:rPr>
          <w:rFonts w:ascii="Times New Roman" w:hAnsi="Times New Roman" w:cs="Times New Roman"/>
          <w:sz w:val="28"/>
          <w:szCs w:val="28"/>
        </w:rPr>
        <w:t xml:space="preserve">. </w:t>
      </w:r>
      <w:bookmarkStart w:id="2" w:name="_GoBack"/>
      <w:proofErr w:type="spellStart"/>
      <w:r w:rsidRPr="00846DC2">
        <w:rPr>
          <w:rFonts w:ascii="Times New Roman" w:hAnsi="Times New Roman" w:cs="Times New Roman"/>
          <w:i/>
          <w:iCs/>
          <w:sz w:val="28"/>
          <w:szCs w:val="28"/>
        </w:rPr>
        <w:t>Multidisciplinary</w:t>
      </w:r>
      <w:proofErr w:type="spellEnd"/>
      <w:r w:rsidRPr="00846DC2">
        <w:rPr>
          <w:rFonts w:ascii="Times New Roman" w:hAnsi="Times New Roman" w:cs="Times New Roman"/>
          <w:i/>
          <w:iCs/>
          <w:sz w:val="28"/>
          <w:szCs w:val="28"/>
        </w:rPr>
        <w:t xml:space="preserve"> </w:t>
      </w:r>
      <w:proofErr w:type="spellStart"/>
      <w:r w:rsidRPr="00846DC2">
        <w:rPr>
          <w:rFonts w:ascii="Times New Roman" w:hAnsi="Times New Roman" w:cs="Times New Roman"/>
          <w:i/>
          <w:iCs/>
          <w:sz w:val="28"/>
          <w:szCs w:val="28"/>
        </w:rPr>
        <w:t>Science</w:t>
      </w:r>
      <w:proofErr w:type="spellEnd"/>
      <w:r w:rsidRPr="00846DC2">
        <w:rPr>
          <w:rFonts w:ascii="Times New Roman" w:hAnsi="Times New Roman" w:cs="Times New Roman"/>
          <w:i/>
          <w:iCs/>
          <w:sz w:val="28"/>
          <w:szCs w:val="28"/>
        </w:rPr>
        <w:t xml:space="preserve"> </w:t>
      </w:r>
      <w:proofErr w:type="spellStart"/>
      <w:r w:rsidRPr="00846DC2">
        <w:rPr>
          <w:rFonts w:ascii="Times New Roman" w:hAnsi="Times New Roman" w:cs="Times New Roman"/>
          <w:i/>
          <w:iCs/>
          <w:sz w:val="28"/>
          <w:szCs w:val="28"/>
        </w:rPr>
        <w:t>Journal</w:t>
      </w:r>
      <w:bookmarkEnd w:id="2"/>
      <w:proofErr w:type="spellEnd"/>
      <w:r w:rsidRPr="00483A93">
        <w:rPr>
          <w:rFonts w:ascii="Times New Roman" w:hAnsi="Times New Roman" w:cs="Times New Roman"/>
          <w:sz w:val="28"/>
          <w:szCs w:val="28"/>
        </w:rPr>
        <w:t>, 6, 2024ss0221. </w:t>
      </w:r>
    </w:p>
    <w:p w14:paraId="4B0AA232" w14:textId="77777777" w:rsidR="00C4472E" w:rsidRPr="00483A93" w:rsidRDefault="00C4472E" w:rsidP="00483A93">
      <w:pPr>
        <w:pStyle w:val="a7"/>
        <w:widowControl w:val="0"/>
        <w:numPr>
          <w:ilvl w:val="0"/>
          <w:numId w:val="7"/>
        </w:numPr>
        <w:spacing w:after="0" w:line="360" w:lineRule="auto"/>
        <w:ind w:left="0" w:firstLine="0"/>
        <w:jc w:val="both"/>
        <w:rPr>
          <w:rFonts w:ascii="Times New Roman" w:hAnsi="Times New Roman" w:cs="Times New Roman"/>
          <w:sz w:val="28"/>
          <w:szCs w:val="28"/>
        </w:rPr>
      </w:pPr>
      <w:r w:rsidRPr="00483A93">
        <w:rPr>
          <w:rFonts w:ascii="Times New Roman" w:hAnsi="Times New Roman" w:cs="Times New Roman"/>
          <w:sz w:val="28"/>
          <w:szCs w:val="28"/>
        </w:rPr>
        <w:t xml:space="preserve">OECD. </w:t>
      </w:r>
      <w:proofErr w:type="spellStart"/>
      <w:r w:rsidRPr="00483A93">
        <w:rPr>
          <w:rFonts w:ascii="Times New Roman" w:hAnsi="Times New Roman" w:cs="Times New Roman"/>
          <w:sz w:val="28"/>
          <w:szCs w:val="28"/>
        </w:rPr>
        <w:t>Corporate</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Finance</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Statistics</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and</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Liquidity</w:t>
      </w:r>
      <w:proofErr w:type="spellEnd"/>
      <w:r w:rsidRPr="00483A93">
        <w:rPr>
          <w:rFonts w:ascii="Times New Roman" w:hAnsi="Times New Roman" w:cs="Times New Roman"/>
          <w:sz w:val="28"/>
          <w:szCs w:val="28"/>
        </w:rPr>
        <w:t xml:space="preserve"> </w:t>
      </w:r>
      <w:proofErr w:type="spellStart"/>
      <w:r w:rsidRPr="00483A93">
        <w:rPr>
          <w:rFonts w:ascii="Times New Roman" w:hAnsi="Times New Roman" w:cs="Times New Roman"/>
          <w:sz w:val="28"/>
          <w:szCs w:val="28"/>
        </w:rPr>
        <w:t>Indicators</w:t>
      </w:r>
      <w:proofErr w:type="spellEnd"/>
      <w:r w:rsidRPr="00483A93">
        <w:rPr>
          <w:rFonts w:ascii="Times New Roman" w:hAnsi="Times New Roman" w:cs="Times New Roman"/>
          <w:sz w:val="28"/>
          <w:szCs w:val="28"/>
        </w:rPr>
        <w:t xml:space="preserve">. — OECD </w:t>
      </w:r>
      <w:proofErr w:type="spellStart"/>
      <w:r w:rsidRPr="00483A93">
        <w:rPr>
          <w:rFonts w:ascii="Times New Roman" w:hAnsi="Times New Roman" w:cs="Times New Roman"/>
          <w:sz w:val="28"/>
          <w:szCs w:val="28"/>
        </w:rPr>
        <w:lastRenderedPageBreak/>
        <w:t>Publishing</w:t>
      </w:r>
      <w:proofErr w:type="spellEnd"/>
      <w:r w:rsidRPr="00483A93">
        <w:rPr>
          <w:rFonts w:ascii="Times New Roman" w:hAnsi="Times New Roman" w:cs="Times New Roman"/>
          <w:sz w:val="28"/>
          <w:szCs w:val="28"/>
        </w:rPr>
        <w:t>, 2022.</w:t>
      </w:r>
    </w:p>
    <w:p w14:paraId="46B64230" w14:textId="77777777" w:rsidR="00C4472E" w:rsidRPr="00C4472E" w:rsidRDefault="00C4472E" w:rsidP="00C4472E">
      <w:pPr>
        <w:widowControl w:val="0"/>
        <w:spacing w:after="0" w:line="360" w:lineRule="auto"/>
        <w:jc w:val="both"/>
        <w:rPr>
          <w:rFonts w:ascii="Times New Roman" w:hAnsi="Times New Roman" w:cs="Times New Roman"/>
          <w:sz w:val="28"/>
          <w:szCs w:val="28"/>
        </w:rPr>
      </w:pPr>
    </w:p>
    <w:sectPr w:rsidR="00C4472E" w:rsidRPr="00C447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F5688"/>
    <w:multiLevelType w:val="hybridMultilevel"/>
    <w:tmpl w:val="B3007D9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168E0290"/>
    <w:multiLevelType w:val="hybridMultilevel"/>
    <w:tmpl w:val="09822EC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555C0427"/>
    <w:multiLevelType w:val="multilevel"/>
    <w:tmpl w:val="18B0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B57037"/>
    <w:multiLevelType w:val="multilevel"/>
    <w:tmpl w:val="8BACAE9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AE6D61"/>
    <w:multiLevelType w:val="multilevel"/>
    <w:tmpl w:val="F754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236DA8"/>
    <w:multiLevelType w:val="multilevel"/>
    <w:tmpl w:val="241EE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5829EF"/>
    <w:multiLevelType w:val="hybridMultilevel"/>
    <w:tmpl w:val="1F2E6C74"/>
    <w:lvl w:ilvl="0" w:tplc="429A9EB6">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6D"/>
    <w:rsid w:val="00090E2D"/>
    <w:rsid w:val="00093ED0"/>
    <w:rsid w:val="00107941"/>
    <w:rsid w:val="00111894"/>
    <w:rsid w:val="001330EE"/>
    <w:rsid w:val="0019393A"/>
    <w:rsid w:val="001F2855"/>
    <w:rsid w:val="00203803"/>
    <w:rsid w:val="002106BE"/>
    <w:rsid w:val="00220DE4"/>
    <w:rsid w:val="003E3F69"/>
    <w:rsid w:val="00483A93"/>
    <w:rsid w:val="0050787E"/>
    <w:rsid w:val="00653F6C"/>
    <w:rsid w:val="00664C7A"/>
    <w:rsid w:val="007B5FDB"/>
    <w:rsid w:val="007D73A4"/>
    <w:rsid w:val="00846DC2"/>
    <w:rsid w:val="0091776D"/>
    <w:rsid w:val="00924117"/>
    <w:rsid w:val="009D79EC"/>
    <w:rsid w:val="00A20792"/>
    <w:rsid w:val="00AE314D"/>
    <w:rsid w:val="00B034F4"/>
    <w:rsid w:val="00B33B4C"/>
    <w:rsid w:val="00B65197"/>
    <w:rsid w:val="00B768DA"/>
    <w:rsid w:val="00C4472E"/>
    <w:rsid w:val="00C50A37"/>
    <w:rsid w:val="00D1117D"/>
    <w:rsid w:val="00D670E2"/>
    <w:rsid w:val="00DB30CC"/>
    <w:rsid w:val="00E20A55"/>
    <w:rsid w:val="00E25DEA"/>
    <w:rsid w:val="00E3083E"/>
    <w:rsid w:val="00E33FD8"/>
    <w:rsid w:val="00E52227"/>
    <w:rsid w:val="00EC7270"/>
    <w:rsid w:val="00F3526C"/>
    <w:rsid w:val="00F82739"/>
    <w:rsid w:val="00FE7D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6C9A"/>
  <w15:chartTrackingRefBased/>
  <w15:docId w15:val="{851548E5-3F59-4C01-AB93-1FB45AFF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177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177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1776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1776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1776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1776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1776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1776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1776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76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1776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1776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1776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1776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177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1776D"/>
    <w:rPr>
      <w:rFonts w:eastAsiaTheme="majorEastAsia" w:cstheme="majorBidi"/>
      <w:color w:val="595959" w:themeColor="text1" w:themeTint="A6"/>
    </w:rPr>
  </w:style>
  <w:style w:type="character" w:customStyle="1" w:styleId="80">
    <w:name w:val="Заголовок 8 Знак"/>
    <w:basedOn w:val="a0"/>
    <w:link w:val="8"/>
    <w:uiPriority w:val="9"/>
    <w:semiHidden/>
    <w:rsid w:val="009177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1776D"/>
    <w:rPr>
      <w:rFonts w:eastAsiaTheme="majorEastAsia" w:cstheme="majorBidi"/>
      <w:color w:val="272727" w:themeColor="text1" w:themeTint="D8"/>
    </w:rPr>
  </w:style>
  <w:style w:type="paragraph" w:styleId="a3">
    <w:name w:val="Title"/>
    <w:basedOn w:val="a"/>
    <w:next w:val="a"/>
    <w:link w:val="a4"/>
    <w:uiPriority w:val="10"/>
    <w:qFormat/>
    <w:rsid w:val="00917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177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776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1776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1776D"/>
    <w:pPr>
      <w:spacing w:before="160"/>
      <w:jc w:val="center"/>
    </w:pPr>
    <w:rPr>
      <w:i/>
      <w:iCs/>
      <w:color w:val="404040" w:themeColor="text1" w:themeTint="BF"/>
    </w:rPr>
  </w:style>
  <w:style w:type="character" w:customStyle="1" w:styleId="22">
    <w:name w:val="Цитата 2 Знак"/>
    <w:basedOn w:val="a0"/>
    <w:link w:val="21"/>
    <w:uiPriority w:val="29"/>
    <w:rsid w:val="0091776D"/>
    <w:rPr>
      <w:i/>
      <w:iCs/>
      <w:color w:val="404040" w:themeColor="text1" w:themeTint="BF"/>
    </w:rPr>
  </w:style>
  <w:style w:type="paragraph" w:styleId="a7">
    <w:name w:val="List Paragraph"/>
    <w:basedOn w:val="a"/>
    <w:uiPriority w:val="34"/>
    <w:qFormat/>
    <w:rsid w:val="0091776D"/>
    <w:pPr>
      <w:ind w:left="720"/>
      <w:contextualSpacing/>
    </w:pPr>
  </w:style>
  <w:style w:type="character" w:styleId="a8">
    <w:name w:val="Intense Emphasis"/>
    <w:basedOn w:val="a0"/>
    <w:uiPriority w:val="21"/>
    <w:qFormat/>
    <w:rsid w:val="0091776D"/>
    <w:rPr>
      <w:i/>
      <w:iCs/>
      <w:color w:val="2F5496" w:themeColor="accent1" w:themeShade="BF"/>
    </w:rPr>
  </w:style>
  <w:style w:type="paragraph" w:styleId="a9">
    <w:name w:val="Intense Quote"/>
    <w:basedOn w:val="a"/>
    <w:next w:val="a"/>
    <w:link w:val="aa"/>
    <w:uiPriority w:val="30"/>
    <w:qFormat/>
    <w:rsid w:val="009177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1776D"/>
    <w:rPr>
      <w:i/>
      <w:iCs/>
      <w:color w:val="2F5496" w:themeColor="accent1" w:themeShade="BF"/>
    </w:rPr>
  </w:style>
  <w:style w:type="character" w:styleId="ab">
    <w:name w:val="Intense Reference"/>
    <w:basedOn w:val="a0"/>
    <w:uiPriority w:val="32"/>
    <w:qFormat/>
    <w:rsid w:val="0091776D"/>
    <w:rPr>
      <w:b/>
      <w:bCs/>
      <w:smallCaps/>
      <w:color w:val="2F5496" w:themeColor="accent1" w:themeShade="BF"/>
      <w:spacing w:val="5"/>
    </w:rPr>
  </w:style>
  <w:style w:type="paragraph" w:styleId="ac">
    <w:name w:val="Body Text"/>
    <w:basedOn w:val="a"/>
    <w:link w:val="ad"/>
    <w:uiPriority w:val="1"/>
    <w:qFormat/>
    <w:rsid w:val="00E20A55"/>
    <w:pPr>
      <w:widowControl w:val="0"/>
      <w:autoSpaceDE w:val="0"/>
      <w:autoSpaceDN w:val="0"/>
      <w:spacing w:after="0" w:line="240" w:lineRule="auto"/>
      <w:ind w:left="427"/>
    </w:pPr>
    <w:rPr>
      <w:rFonts w:ascii="Times New Roman" w:eastAsia="Times New Roman" w:hAnsi="Times New Roman" w:cs="Times New Roman"/>
      <w:kern w:val="0"/>
      <w:sz w:val="28"/>
      <w:szCs w:val="28"/>
      <w14:ligatures w14:val="none"/>
    </w:rPr>
  </w:style>
  <w:style w:type="character" w:customStyle="1" w:styleId="ad">
    <w:name w:val="Основной текст Знак"/>
    <w:basedOn w:val="a0"/>
    <w:link w:val="ac"/>
    <w:uiPriority w:val="1"/>
    <w:rsid w:val="00E20A55"/>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D4916C-DC53-4ED7-9DF9-1E7CC15E9747}" type="doc">
      <dgm:prSet loTypeId="urn:microsoft.com/office/officeart/2005/8/layout/cycle6" loCatId="cycle" qsTypeId="urn:microsoft.com/office/officeart/2005/8/quickstyle/simple1" qsCatId="simple" csTypeId="urn:microsoft.com/office/officeart/2005/8/colors/accent0_2" csCatId="mainScheme" phldr="1"/>
      <dgm:spPr/>
      <dgm:t>
        <a:bodyPr/>
        <a:lstStyle/>
        <a:p>
          <a:endParaRPr lang="uk-UA"/>
        </a:p>
      </dgm:t>
    </dgm:pt>
    <dgm:pt modelId="{703CCE0E-B439-4BE9-86EC-079F92E5A994}">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Активізація управління дебіторською заборгованістю</a:t>
          </a:r>
        </a:p>
      </dgm:t>
    </dgm:pt>
    <dgm:pt modelId="{F18C9774-31DA-4147-BB9D-8D280C1509B7}" type="parTrans" cxnId="{22983344-B88F-4DF5-99A7-A2CAA77113E5}">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40056724-82D4-40D9-96DB-931921101B91}" type="sibTrans" cxnId="{22983344-B88F-4DF5-99A7-A2CAA77113E5}">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11C9E344-33D0-4DBE-A812-C844A1A16F03}">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Оптимізація структури активів і зобов</a:t>
          </a:r>
          <a:r>
            <a:rPr lang="en-US">
              <a:solidFill>
                <a:sysClr val="windowText" lastClr="000000"/>
              </a:solidFill>
              <a:latin typeface="Times New Roman" panose="02020603050405020304" pitchFamily="18" charset="0"/>
              <a:cs typeface="Times New Roman" panose="02020603050405020304" pitchFamily="18" charset="0"/>
            </a:rPr>
            <a:t>'</a:t>
          </a:r>
          <a:r>
            <a:rPr lang="uk-UA">
              <a:solidFill>
                <a:sysClr val="windowText" lastClr="000000"/>
              </a:solidFill>
              <a:latin typeface="Times New Roman" panose="02020603050405020304" pitchFamily="18" charset="0"/>
              <a:cs typeface="Times New Roman" panose="02020603050405020304" pitchFamily="18" charset="0"/>
            </a:rPr>
            <a:t>язань</a:t>
          </a:r>
        </a:p>
      </dgm:t>
    </dgm:pt>
    <dgm:pt modelId="{0554DA3F-3BCA-49B2-90FF-E19E5B77553A}" type="parTrans" cxnId="{67BE6213-3770-46DA-ABCA-94111253ECEF}">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423AB0EA-E581-469E-80CD-A7E3967E70FF}" type="sibTrans" cxnId="{67BE6213-3770-46DA-ABCA-94111253ECEF}">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68CF2929-7ECD-45BD-A816-EA886796F259}">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Цифровізація обліку</a:t>
          </a:r>
        </a:p>
      </dgm:t>
    </dgm:pt>
    <dgm:pt modelId="{0544F617-8770-4CFF-93AE-124F56FAE474}" type="parTrans" cxnId="{5468E195-9782-4B15-BAFC-5918BE127FCF}">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591E0FF6-0AA5-4DE0-9828-914D403C165C}" type="sibTrans" cxnId="{5468E195-9782-4B15-BAFC-5918BE127FCF}">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13902E06-4468-4494-8ED2-1714117021AA}">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Участь у державних програмах</a:t>
          </a:r>
        </a:p>
      </dgm:t>
    </dgm:pt>
    <dgm:pt modelId="{024C02F4-63C5-49D2-9C6E-D6F53971BA9B}" type="parTrans" cxnId="{9094FEBA-0203-412C-98AE-D2B8CCF75919}">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B64B0107-5D40-4513-8CBD-F92764958AC5}" type="sibTrans" cxnId="{9094FEBA-0203-412C-98AE-D2B8CCF75919}">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F7719DBB-28CC-46DB-AE87-95F71A002DC7}">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Формування резервного фонду ліквідності</a:t>
          </a:r>
        </a:p>
      </dgm:t>
    </dgm:pt>
    <dgm:pt modelId="{B2D9433C-0448-4F20-BB63-A4F5122F7133}" type="parTrans" cxnId="{49D012A7-2E80-4EE6-B3BA-4162D606C812}">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98D78C9B-3605-44C5-8F63-B09F3DD1ADD9}" type="sibTrans" cxnId="{49D012A7-2E80-4EE6-B3BA-4162D606C812}">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6DC95617-23C7-4337-A7FC-44C4D9EB0D9A}">
      <dgm:prSet phldrT="[Текст]"/>
      <dgm:spPr/>
      <dgm:t>
        <a:bodyPr/>
        <a:lstStyle/>
        <a:p>
          <a:r>
            <a:rPr lang="uk-UA">
              <a:solidFill>
                <a:sysClr val="windowText" lastClr="000000"/>
              </a:solidFill>
              <a:latin typeface="Times New Roman" panose="02020603050405020304" pitchFamily="18" charset="0"/>
              <a:cs typeface="Times New Roman" panose="02020603050405020304" pitchFamily="18" charset="0"/>
            </a:rPr>
            <a:t>Впровадження системи фінансового контролінгу</a:t>
          </a:r>
        </a:p>
      </dgm:t>
    </dgm:pt>
    <dgm:pt modelId="{1F157F86-4F5F-4245-BA77-62623FCA71D9}" type="parTrans" cxnId="{6BF3CD14-808F-436A-8C57-C6F9EE369940}">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EB3E18E2-AEFE-4428-BD7A-0F5445716771}" type="sibTrans" cxnId="{6BF3CD14-808F-436A-8C57-C6F9EE369940}">
      <dgm:prSet/>
      <dgm:spPr/>
      <dgm:t>
        <a:bodyPr/>
        <a:lstStyle/>
        <a:p>
          <a:endParaRPr lang="uk-UA">
            <a:solidFill>
              <a:sysClr val="windowText" lastClr="000000"/>
            </a:solidFill>
            <a:latin typeface="Times New Roman" panose="02020603050405020304" pitchFamily="18" charset="0"/>
            <a:cs typeface="Times New Roman" panose="02020603050405020304" pitchFamily="18" charset="0"/>
          </a:endParaRPr>
        </a:p>
      </dgm:t>
    </dgm:pt>
    <dgm:pt modelId="{64F7FA91-8508-4E7F-A2B0-8C9382A7D903}" type="pres">
      <dgm:prSet presAssocID="{34D4916C-DC53-4ED7-9DF9-1E7CC15E9747}" presName="cycle" presStyleCnt="0">
        <dgm:presLayoutVars>
          <dgm:dir/>
          <dgm:resizeHandles val="exact"/>
        </dgm:presLayoutVars>
      </dgm:prSet>
      <dgm:spPr/>
    </dgm:pt>
    <dgm:pt modelId="{C535712A-5EBE-4791-9171-7C7263FA73D9}" type="pres">
      <dgm:prSet presAssocID="{703CCE0E-B439-4BE9-86EC-079F92E5A994}" presName="node" presStyleLbl="node1" presStyleIdx="0" presStyleCnt="6">
        <dgm:presLayoutVars>
          <dgm:bulletEnabled val="1"/>
        </dgm:presLayoutVars>
      </dgm:prSet>
      <dgm:spPr/>
    </dgm:pt>
    <dgm:pt modelId="{180BFB46-B410-46DE-8809-8E6088B892B9}" type="pres">
      <dgm:prSet presAssocID="{703CCE0E-B439-4BE9-86EC-079F92E5A994}" presName="spNode" presStyleCnt="0"/>
      <dgm:spPr/>
    </dgm:pt>
    <dgm:pt modelId="{B7616BAB-BE1C-4B1A-BCA5-8146E9785126}" type="pres">
      <dgm:prSet presAssocID="{40056724-82D4-40D9-96DB-931921101B91}" presName="sibTrans" presStyleLbl="sibTrans1D1" presStyleIdx="0" presStyleCnt="6"/>
      <dgm:spPr/>
    </dgm:pt>
    <dgm:pt modelId="{58567875-F10E-4245-9812-78DE3DE3E7C2}" type="pres">
      <dgm:prSet presAssocID="{11C9E344-33D0-4DBE-A812-C844A1A16F03}" presName="node" presStyleLbl="node1" presStyleIdx="1" presStyleCnt="6">
        <dgm:presLayoutVars>
          <dgm:bulletEnabled val="1"/>
        </dgm:presLayoutVars>
      </dgm:prSet>
      <dgm:spPr/>
    </dgm:pt>
    <dgm:pt modelId="{F66AD914-6847-4115-B910-0965621C27F5}" type="pres">
      <dgm:prSet presAssocID="{11C9E344-33D0-4DBE-A812-C844A1A16F03}" presName="spNode" presStyleCnt="0"/>
      <dgm:spPr/>
    </dgm:pt>
    <dgm:pt modelId="{A378DA59-993A-4646-9DA7-7F5C793B04E5}" type="pres">
      <dgm:prSet presAssocID="{423AB0EA-E581-469E-80CD-A7E3967E70FF}" presName="sibTrans" presStyleLbl="sibTrans1D1" presStyleIdx="1" presStyleCnt="6"/>
      <dgm:spPr/>
    </dgm:pt>
    <dgm:pt modelId="{B2AF5C29-BA2D-4CFC-9A9F-8253C1D28513}" type="pres">
      <dgm:prSet presAssocID="{6DC95617-23C7-4337-A7FC-44C4D9EB0D9A}" presName="node" presStyleLbl="node1" presStyleIdx="2" presStyleCnt="6">
        <dgm:presLayoutVars>
          <dgm:bulletEnabled val="1"/>
        </dgm:presLayoutVars>
      </dgm:prSet>
      <dgm:spPr/>
    </dgm:pt>
    <dgm:pt modelId="{4B8DE021-2C5A-4B94-ABBF-1E5DF7FABCBD}" type="pres">
      <dgm:prSet presAssocID="{6DC95617-23C7-4337-A7FC-44C4D9EB0D9A}" presName="spNode" presStyleCnt="0"/>
      <dgm:spPr/>
    </dgm:pt>
    <dgm:pt modelId="{15FC78D2-D7A5-4013-850E-B7C9D016A282}" type="pres">
      <dgm:prSet presAssocID="{EB3E18E2-AEFE-4428-BD7A-0F5445716771}" presName="sibTrans" presStyleLbl="sibTrans1D1" presStyleIdx="2" presStyleCnt="6"/>
      <dgm:spPr/>
    </dgm:pt>
    <dgm:pt modelId="{62D43569-7D43-44D2-BBFC-27C7173C1DFF}" type="pres">
      <dgm:prSet presAssocID="{68CF2929-7ECD-45BD-A816-EA886796F259}" presName="node" presStyleLbl="node1" presStyleIdx="3" presStyleCnt="6">
        <dgm:presLayoutVars>
          <dgm:bulletEnabled val="1"/>
        </dgm:presLayoutVars>
      </dgm:prSet>
      <dgm:spPr/>
    </dgm:pt>
    <dgm:pt modelId="{3A545178-FFCC-4CA1-9336-A527DC0D8C81}" type="pres">
      <dgm:prSet presAssocID="{68CF2929-7ECD-45BD-A816-EA886796F259}" presName="spNode" presStyleCnt="0"/>
      <dgm:spPr/>
    </dgm:pt>
    <dgm:pt modelId="{4321A180-8F41-4FED-AE1D-0CFCD2DDE7B2}" type="pres">
      <dgm:prSet presAssocID="{591E0FF6-0AA5-4DE0-9828-914D403C165C}" presName="sibTrans" presStyleLbl="sibTrans1D1" presStyleIdx="3" presStyleCnt="6"/>
      <dgm:spPr/>
    </dgm:pt>
    <dgm:pt modelId="{24F0C3E6-561D-4422-9150-5BAAC6BF0E2D}" type="pres">
      <dgm:prSet presAssocID="{13902E06-4468-4494-8ED2-1714117021AA}" presName="node" presStyleLbl="node1" presStyleIdx="4" presStyleCnt="6">
        <dgm:presLayoutVars>
          <dgm:bulletEnabled val="1"/>
        </dgm:presLayoutVars>
      </dgm:prSet>
      <dgm:spPr/>
    </dgm:pt>
    <dgm:pt modelId="{622ECBE8-B3BD-470F-AAC4-7868F86A375D}" type="pres">
      <dgm:prSet presAssocID="{13902E06-4468-4494-8ED2-1714117021AA}" presName="spNode" presStyleCnt="0"/>
      <dgm:spPr/>
    </dgm:pt>
    <dgm:pt modelId="{2A0FD86B-C313-4F11-96FF-323A98D4B612}" type="pres">
      <dgm:prSet presAssocID="{B64B0107-5D40-4513-8CBD-F92764958AC5}" presName="sibTrans" presStyleLbl="sibTrans1D1" presStyleIdx="4" presStyleCnt="6"/>
      <dgm:spPr/>
    </dgm:pt>
    <dgm:pt modelId="{8E5239EF-4D50-496F-A636-AF0301D8ABEF}" type="pres">
      <dgm:prSet presAssocID="{F7719DBB-28CC-46DB-AE87-95F71A002DC7}" presName="node" presStyleLbl="node1" presStyleIdx="5" presStyleCnt="6">
        <dgm:presLayoutVars>
          <dgm:bulletEnabled val="1"/>
        </dgm:presLayoutVars>
      </dgm:prSet>
      <dgm:spPr/>
    </dgm:pt>
    <dgm:pt modelId="{DDC1EC82-EBCF-4DEE-B378-FDD86D6C26AA}" type="pres">
      <dgm:prSet presAssocID="{F7719DBB-28CC-46DB-AE87-95F71A002DC7}" presName="spNode" presStyleCnt="0"/>
      <dgm:spPr/>
    </dgm:pt>
    <dgm:pt modelId="{420D99F5-D6EB-4425-B069-6BF09EF54457}" type="pres">
      <dgm:prSet presAssocID="{98D78C9B-3605-44C5-8F63-B09F3DD1ADD9}" presName="sibTrans" presStyleLbl="sibTrans1D1" presStyleIdx="5" presStyleCnt="6"/>
      <dgm:spPr/>
    </dgm:pt>
  </dgm:ptLst>
  <dgm:cxnLst>
    <dgm:cxn modelId="{39683700-0BC0-4469-8079-BCF798CF060E}" type="presOf" srcId="{13902E06-4468-4494-8ED2-1714117021AA}" destId="{24F0C3E6-561D-4422-9150-5BAAC6BF0E2D}" srcOrd="0" destOrd="0" presId="urn:microsoft.com/office/officeart/2005/8/layout/cycle6"/>
    <dgm:cxn modelId="{67BE6213-3770-46DA-ABCA-94111253ECEF}" srcId="{34D4916C-DC53-4ED7-9DF9-1E7CC15E9747}" destId="{11C9E344-33D0-4DBE-A812-C844A1A16F03}" srcOrd="1" destOrd="0" parTransId="{0554DA3F-3BCA-49B2-90FF-E19E5B77553A}" sibTransId="{423AB0EA-E581-469E-80CD-A7E3967E70FF}"/>
    <dgm:cxn modelId="{6BF3CD14-808F-436A-8C57-C6F9EE369940}" srcId="{34D4916C-DC53-4ED7-9DF9-1E7CC15E9747}" destId="{6DC95617-23C7-4337-A7FC-44C4D9EB0D9A}" srcOrd="2" destOrd="0" parTransId="{1F157F86-4F5F-4245-BA77-62623FCA71D9}" sibTransId="{EB3E18E2-AEFE-4428-BD7A-0F5445716771}"/>
    <dgm:cxn modelId="{B0C66B1E-AA85-4D99-9BC3-61FC4B1FB4C3}" type="presOf" srcId="{98D78C9B-3605-44C5-8F63-B09F3DD1ADD9}" destId="{420D99F5-D6EB-4425-B069-6BF09EF54457}" srcOrd="0" destOrd="0" presId="urn:microsoft.com/office/officeart/2005/8/layout/cycle6"/>
    <dgm:cxn modelId="{C9FEB52B-5550-4CC4-9FE3-2D35875D0C7F}" type="presOf" srcId="{423AB0EA-E581-469E-80CD-A7E3967E70FF}" destId="{A378DA59-993A-4646-9DA7-7F5C793B04E5}" srcOrd="0" destOrd="0" presId="urn:microsoft.com/office/officeart/2005/8/layout/cycle6"/>
    <dgm:cxn modelId="{BEB15D41-FDF0-415D-8F3D-D98C8B1B982E}" type="presOf" srcId="{34D4916C-DC53-4ED7-9DF9-1E7CC15E9747}" destId="{64F7FA91-8508-4E7F-A2B0-8C9382A7D903}" srcOrd="0" destOrd="0" presId="urn:microsoft.com/office/officeart/2005/8/layout/cycle6"/>
    <dgm:cxn modelId="{22983344-B88F-4DF5-99A7-A2CAA77113E5}" srcId="{34D4916C-DC53-4ED7-9DF9-1E7CC15E9747}" destId="{703CCE0E-B439-4BE9-86EC-079F92E5A994}" srcOrd="0" destOrd="0" parTransId="{F18C9774-31DA-4147-BB9D-8D280C1509B7}" sibTransId="{40056724-82D4-40D9-96DB-931921101B91}"/>
    <dgm:cxn modelId="{253F9D6C-2202-427A-AB2B-A864147CF3EB}" type="presOf" srcId="{703CCE0E-B439-4BE9-86EC-079F92E5A994}" destId="{C535712A-5EBE-4791-9171-7C7263FA73D9}" srcOrd="0" destOrd="0" presId="urn:microsoft.com/office/officeart/2005/8/layout/cycle6"/>
    <dgm:cxn modelId="{6CD80851-E6E2-4A25-9505-27AF71941CAF}" type="presOf" srcId="{40056724-82D4-40D9-96DB-931921101B91}" destId="{B7616BAB-BE1C-4B1A-BCA5-8146E9785126}" srcOrd="0" destOrd="0" presId="urn:microsoft.com/office/officeart/2005/8/layout/cycle6"/>
    <dgm:cxn modelId="{1337B174-3571-46E9-A4E0-8EB2682D868D}" type="presOf" srcId="{11C9E344-33D0-4DBE-A812-C844A1A16F03}" destId="{58567875-F10E-4245-9812-78DE3DE3E7C2}" srcOrd="0" destOrd="0" presId="urn:microsoft.com/office/officeart/2005/8/layout/cycle6"/>
    <dgm:cxn modelId="{F52EC594-9614-414B-BB97-A997C4E65060}" type="presOf" srcId="{F7719DBB-28CC-46DB-AE87-95F71A002DC7}" destId="{8E5239EF-4D50-496F-A636-AF0301D8ABEF}" srcOrd="0" destOrd="0" presId="urn:microsoft.com/office/officeart/2005/8/layout/cycle6"/>
    <dgm:cxn modelId="{5468E195-9782-4B15-BAFC-5918BE127FCF}" srcId="{34D4916C-DC53-4ED7-9DF9-1E7CC15E9747}" destId="{68CF2929-7ECD-45BD-A816-EA886796F259}" srcOrd="3" destOrd="0" parTransId="{0544F617-8770-4CFF-93AE-124F56FAE474}" sibTransId="{591E0FF6-0AA5-4DE0-9828-914D403C165C}"/>
    <dgm:cxn modelId="{49D012A7-2E80-4EE6-B3BA-4162D606C812}" srcId="{34D4916C-DC53-4ED7-9DF9-1E7CC15E9747}" destId="{F7719DBB-28CC-46DB-AE87-95F71A002DC7}" srcOrd="5" destOrd="0" parTransId="{B2D9433C-0448-4F20-BB63-A4F5122F7133}" sibTransId="{98D78C9B-3605-44C5-8F63-B09F3DD1ADD9}"/>
    <dgm:cxn modelId="{9094FEBA-0203-412C-98AE-D2B8CCF75919}" srcId="{34D4916C-DC53-4ED7-9DF9-1E7CC15E9747}" destId="{13902E06-4468-4494-8ED2-1714117021AA}" srcOrd="4" destOrd="0" parTransId="{024C02F4-63C5-49D2-9C6E-D6F53971BA9B}" sibTransId="{B64B0107-5D40-4513-8CBD-F92764958AC5}"/>
    <dgm:cxn modelId="{B2B705BC-D353-4314-9DD3-95C3AC55007A}" type="presOf" srcId="{EB3E18E2-AEFE-4428-BD7A-0F5445716771}" destId="{15FC78D2-D7A5-4013-850E-B7C9D016A282}" srcOrd="0" destOrd="0" presId="urn:microsoft.com/office/officeart/2005/8/layout/cycle6"/>
    <dgm:cxn modelId="{EE6A3CD2-FC17-422F-9AF0-B8394B08A3CD}" type="presOf" srcId="{591E0FF6-0AA5-4DE0-9828-914D403C165C}" destId="{4321A180-8F41-4FED-AE1D-0CFCD2DDE7B2}" srcOrd="0" destOrd="0" presId="urn:microsoft.com/office/officeart/2005/8/layout/cycle6"/>
    <dgm:cxn modelId="{2E50C8D6-CD33-4EAA-8973-C85ED030B9D6}" type="presOf" srcId="{6DC95617-23C7-4337-A7FC-44C4D9EB0D9A}" destId="{B2AF5C29-BA2D-4CFC-9A9F-8253C1D28513}" srcOrd="0" destOrd="0" presId="urn:microsoft.com/office/officeart/2005/8/layout/cycle6"/>
    <dgm:cxn modelId="{D32E3FE8-88CE-4B57-BABD-0F3FA795BCFE}" type="presOf" srcId="{68CF2929-7ECD-45BD-A816-EA886796F259}" destId="{62D43569-7D43-44D2-BBFC-27C7173C1DFF}" srcOrd="0" destOrd="0" presId="urn:microsoft.com/office/officeart/2005/8/layout/cycle6"/>
    <dgm:cxn modelId="{F6587DF3-BDDA-43A7-87B7-FFF53BDBE7BF}" type="presOf" srcId="{B64B0107-5D40-4513-8CBD-F92764958AC5}" destId="{2A0FD86B-C313-4F11-96FF-323A98D4B612}" srcOrd="0" destOrd="0" presId="urn:microsoft.com/office/officeart/2005/8/layout/cycle6"/>
    <dgm:cxn modelId="{3C137F97-1EDC-44CE-9FE6-A7769F1A7CA6}" type="presParOf" srcId="{64F7FA91-8508-4E7F-A2B0-8C9382A7D903}" destId="{C535712A-5EBE-4791-9171-7C7263FA73D9}" srcOrd="0" destOrd="0" presId="urn:microsoft.com/office/officeart/2005/8/layout/cycle6"/>
    <dgm:cxn modelId="{F8088D6E-BB2A-4076-B4CD-8C2CE78DA9C9}" type="presParOf" srcId="{64F7FA91-8508-4E7F-A2B0-8C9382A7D903}" destId="{180BFB46-B410-46DE-8809-8E6088B892B9}" srcOrd="1" destOrd="0" presId="urn:microsoft.com/office/officeart/2005/8/layout/cycle6"/>
    <dgm:cxn modelId="{6D5DD1F0-317B-45F7-8DE2-62A5C4567046}" type="presParOf" srcId="{64F7FA91-8508-4E7F-A2B0-8C9382A7D903}" destId="{B7616BAB-BE1C-4B1A-BCA5-8146E9785126}" srcOrd="2" destOrd="0" presId="urn:microsoft.com/office/officeart/2005/8/layout/cycle6"/>
    <dgm:cxn modelId="{4AF7306C-A3AD-44FF-99EC-4FCC546ABCE0}" type="presParOf" srcId="{64F7FA91-8508-4E7F-A2B0-8C9382A7D903}" destId="{58567875-F10E-4245-9812-78DE3DE3E7C2}" srcOrd="3" destOrd="0" presId="urn:microsoft.com/office/officeart/2005/8/layout/cycle6"/>
    <dgm:cxn modelId="{071E6208-E02A-4664-B31B-31DD97711E88}" type="presParOf" srcId="{64F7FA91-8508-4E7F-A2B0-8C9382A7D903}" destId="{F66AD914-6847-4115-B910-0965621C27F5}" srcOrd="4" destOrd="0" presId="urn:microsoft.com/office/officeart/2005/8/layout/cycle6"/>
    <dgm:cxn modelId="{0F64AE20-5F21-46C5-926B-C562697BD9F2}" type="presParOf" srcId="{64F7FA91-8508-4E7F-A2B0-8C9382A7D903}" destId="{A378DA59-993A-4646-9DA7-7F5C793B04E5}" srcOrd="5" destOrd="0" presId="urn:microsoft.com/office/officeart/2005/8/layout/cycle6"/>
    <dgm:cxn modelId="{D6C91431-5619-46E9-A049-96BE4B77AD51}" type="presParOf" srcId="{64F7FA91-8508-4E7F-A2B0-8C9382A7D903}" destId="{B2AF5C29-BA2D-4CFC-9A9F-8253C1D28513}" srcOrd="6" destOrd="0" presId="urn:microsoft.com/office/officeart/2005/8/layout/cycle6"/>
    <dgm:cxn modelId="{7E75809B-FB1F-40A7-90CF-3737E9350033}" type="presParOf" srcId="{64F7FA91-8508-4E7F-A2B0-8C9382A7D903}" destId="{4B8DE021-2C5A-4B94-ABBF-1E5DF7FABCBD}" srcOrd="7" destOrd="0" presId="urn:microsoft.com/office/officeart/2005/8/layout/cycle6"/>
    <dgm:cxn modelId="{455F0414-6096-4C7C-A859-0A35839F85C2}" type="presParOf" srcId="{64F7FA91-8508-4E7F-A2B0-8C9382A7D903}" destId="{15FC78D2-D7A5-4013-850E-B7C9D016A282}" srcOrd="8" destOrd="0" presId="urn:microsoft.com/office/officeart/2005/8/layout/cycle6"/>
    <dgm:cxn modelId="{5D3925AF-2EC2-40E3-AA54-0FB2B6384D36}" type="presParOf" srcId="{64F7FA91-8508-4E7F-A2B0-8C9382A7D903}" destId="{62D43569-7D43-44D2-BBFC-27C7173C1DFF}" srcOrd="9" destOrd="0" presId="urn:microsoft.com/office/officeart/2005/8/layout/cycle6"/>
    <dgm:cxn modelId="{9522C161-3B47-47C4-9F58-C71D7471F4C4}" type="presParOf" srcId="{64F7FA91-8508-4E7F-A2B0-8C9382A7D903}" destId="{3A545178-FFCC-4CA1-9336-A527DC0D8C81}" srcOrd="10" destOrd="0" presId="urn:microsoft.com/office/officeart/2005/8/layout/cycle6"/>
    <dgm:cxn modelId="{B212E5AE-48B5-4484-BDBF-2A07713AAFA5}" type="presParOf" srcId="{64F7FA91-8508-4E7F-A2B0-8C9382A7D903}" destId="{4321A180-8F41-4FED-AE1D-0CFCD2DDE7B2}" srcOrd="11" destOrd="0" presId="urn:microsoft.com/office/officeart/2005/8/layout/cycle6"/>
    <dgm:cxn modelId="{5F0A365D-6226-4D01-89D0-DBCA4C96CE01}" type="presParOf" srcId="{64F7FA91-8508-4E7F-A2B0-8C9382A7D903}" destId="{24F0C3E6-561D-4422-9150-5BAAC6BF0E2D}" srcOrd="12" destOrd="0" presId="urn:microsoft.com/office/officeart/2005/8/layout/cycle6"/>
    <dgm:cxn modelId="{2B3FFBAE-1BDA-487C-9AB4-1B12A7A3C079}" type="presParOf" srcId="{64F7FA91-8508-4E7F-A2B0-8C9382A7D903}" destId="{622ECBE8-B3BD-470F-AAC4-7868F86A375D}" srcOrd="13" destOrd="0" presId="urn:microsoft.com/office/officeart/2005/8/layout/cycle6"/>
    <dgm:cxn modelId="{D275E477-244E-44B6-92F3-C6B4D1F94187}" type="presParOf" srcId="{64F7FA91-8508-4E7F-A2B0-8C9382A7D903}" destId="{2A0FD86B-C313-4F11-96FF-323A98D4B612}" srcOrd="14" destOrd="0" presId="urn:microsoft.com/office/officeart/2005/8/layout/cycle6"/>
    <dgm:cxn modelId="{56E957A6-D36D-46A5-AE8C-881C78E96ED6}" type="presParOf" srcId="{64F7FA91-8508-4E7F-A2B0-8C9382A7D903}" destId="{8E5239EF-4D50-496F-A636-AF0301D8ABEF}" srcOrd="15" destOrd="0" presId="urn:microsoft.com/office/officeart/2005/8/layout/cycle6"/>
    <dgm:cxn modelId="{3D557685-9A61-4D72-853E-19C9882C7C65}" type="presParOf" srcId="{64F7FA91-8508-4E7F-A2B0-8C9382A7D903}" destId="{DDC1EC82-EBCF-4DEE-B378-FDD86D6C26AA}" srcOrd="16" destOrd="0" presId="urn:microsoft.com/office/officeart/2005/8/layout/cycle6"/>
    <dgm:cxn modelId="{BB4DCFD2-80E6-45FE-9392-5F0E90352FE4}" type="presParOf" srcId="{64F7FA91-8508-4E7F-A2B0-8C9382A7D903}" destId="{420D99F5-D6EB-4425-B069-6BF09EF54457}" srcOrd="17" destOrd="0" presId="urn:microsoft.com/office/officeart/2005/8/layout/cycle6"/>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35712A-5EBE-4791-9171-7C7263FA73D9}">
      <dsp:nvSpPr>
        <dsp:cNvPr id="0" name=""/>
        <dsp:cNvSpPr/>
      </dsp:nvSpPr>
      <dsp:spPr>
        <a:xfrm>
          <a:off x="2312565" y="2598"/>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Активізація управління дебіторською заборгованістю</a:t>
          </a:r>
        </a:p>
      </dsp:txBody>
      <dsp:txXfrm>
        <a:off x="2339893" y="29926"/>
        <a:ext cx="806612" cy="505168"/>
      </dsp:txXfrm>
    </dsp:sp>
    <dsp:sp modelId="{B7616BAB-BE1C-4B1A-BCA5-8146E9785126}">
      <dsp:nvSpPr>
        <dsp:cNvPr id="0" name=""/>
        <dsp:cNvSpPr/>
      </dsp:nvSpPr>
      <dsp:spPr>
        <a:xfrm>
          <a:off x="1425510" y="282510"/>
          <a:ext cx="2635379" cy="2635379"/>
        </a:xfrm>
        <a:custGeom>
          <a:avLst/>
          <a:gdLst/>
          <a:ahLst/>
          <a:cxnLst/>
          <a:rect l="0" t="0" r="0" b="0"/>
          <a:pathLst>
            <a:path>
              <a:moveTo>
                <a:pt x="1753814" y="74266"/>
              </a:moveTo>
              <a:arcTo wR="1317689" hR="1317689" stAng="17359686" swAng="14991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8567875-F10E-4245-9812-78DE3DE3E7C2}">
      <dsp:nvSpPr>
        <dsp:cNvPr id="0" name=""/>
        <dsp:cNvSpPr/>
      </dsp:nvSpPr>
      <dsp:spPr>
        <a:xfrm>
          <a:off x="3453718" y="661443"/>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Оптимізація структури активів і зобов</a:t>
          </a:r>
          <a:r>
            <a:rPr lang="en-US" sz="800" kern="1200">
              <a:solidFill>
                <a:sysClr val="windowText" lastClr="000000"/>
              </a:solidFill>
              <a:latin typeface="Times New Roman" panose="02020603050405020304" pitchFamily="18" charset="0"/>
              <a:cs typeface="Times New Roman" panose="02020603050405020304" pitchFamily="18" charset="0"/>
            </a:rPr>
            <a:t>'</a:t>
          </a:r>
          <a:r>
            <a:rPr lang="uk-UA" sz="800" kern="1200">
              <a:solidFill>
                <a:sysClr val="windowText" lastClr="000000"/>
              </a:solidFill>
              <a:latin typeface="Times New Roman" panose="02020603050405020304" pitchFamily="18" charset="0"/>
              <a:cs typeface="Times New Roman" panose="02020603050405020304" pitchFamily="18" charset="0"/>
            </a:rPr>
            <a:t>язань</a:t>
          </a:r>
        </a:p>
      </dsp:txBody>
      <dsp:txXfrm>
        <a:off x="3481046" y="688771"/>
        <a:ext cx="806612" cy="505168"/>
      </dsp:txXfrm>
    </dsp:sp>
    <dsp:sp modelId="{A378DA59-993A-4646-9DA7-7F5C793B04E5}">
      <dsp:nvSpPr>
        <dsp:cNvPr id="0" name=""/>
        <dsp:cNvSpPr/>
      </dsp:nvSpPr>
      <dsp:spPr>
        <a:xfrm>
          <a:off x="1425510" y="282510"/>
          <a:ext cx="2635379" cy="2635379"/>
        </a:xfrm>
        <a:custGeom>
          <a:avLst/>
          <a:gdLst/>
          <a:ahLst/>
          <a:cxnLst/>
          <a:rect l="0" t="0" r="0" b="0"/>
          <a:pathLst>
            <a:path>
              <a:moveTo>
                <a:pt x="2581876" y="946021"/>
              </a:moveTo>
              <a:arcTo wR="1317689" hR="1317689" stAng="20617008" swAng="19659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2AF5C29-BA2D-4CFC-9A9F-8253C1D28513}">
      <dsp:nvSpPr>
        <dsp:cNvPr id="0" name=""/>
        <dsp:cNvSpPr/>
      </dsp:nvSpPr>
      <dsp:spPr>
        <a:xfrm>
          <a:off x="3453718" y="1979132"/>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Впровадження системи фінансового контролінгу</a:t>
          </a:r>
        </a:p>
      </dsp:txBody>
      <dsp:txXfrm>
        <a:off x="3481046" y="2006460"/>
        <a:ext cx="806612" cy="505168"/>
      </dsp:txXfrm>
    </dsp:sp>
    <dsp:sp modelId="{15FC78D2-D7A5-4013-850E-B7C9D016A282}">
      <dsp:nvSpPr>
        <dsp:cNvPr id="0" name=""/>
        <dsp:cNvSpPr/>
      </dsp:nvSpPr>
      <dsp:spPr>
        <a:xfrm>
          <a:off x="1425510" y="282510"/>
          <a:ext cx="2635379" cy="2635379"/>
        </a:xfrm>
        <a:custGeom>
          <a:avLst/>
          <a:gdLst/>
          <a:ahLst/>
          <a:cxnLst/>
          <a:rect l="0" t="0" r="0" b="0"/>
          <a:pathLst>
            <a:path>
              <a:moveTo>
                <a:pt x="2238222" y="2260517"/>
              </a:moveTo>
              <a:arcTo wR="1317689" hR="1317689" stAng="2741131" swAng="14991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2D43569-7D43-44D2-BBFC-27C7173C1DFF}">
      <dsp:nvSpPr>
        <dsp:cNvPr id="0" name=""/>
        <dsp:cNvSpPr/>
      </dsp:nvSpPr>
      <dsp:spPr>
        <a:xfrm>
          <a:off x="2312565" y="2637977"/>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Цифровізація обліку</a:t>
          </a:r>
        </a:p>
      </dsp:txBody>
      <dsp:txXfrm>
        <a:off x="2339893" y="2665305"/>
        <a:ext cx="806612" cy="505168"/>
      </dsp:txXfrm>
    </dsp:sp>
    <dsp:sp modelId="{4321A180-8F41-4FED-AE1D-0CFCD2DDE7B2}">
      <dsp:nvSpPr>
        <dsp:cNvPr id="0" name=""/>
        <dsp:cNvSpPr/>
      </dsp:nvSpPr>
      <dsp:spPr>
        <a:xfrm>
          <a:off x="1425510" y="282510"/>
          <a:ext cx="2635379" cy="2635379"/>
        </a:xfrm>
        <a:custGeom>
          <a:avLst/>
          <a:gdLst/>
          <a:ahLst/>
          <a:cxnLst/>
          <a:rect l="0" t="0" r="0" b="0"/>
          <a:pathLst>
            <a:path>
              <a:moveTo>
                <a:pt x="881564" y="2561112"/>
              </a:moveTo>
              <a:arcTo wR="1317689" hR="1317689" stAng="6559686" swAng="14991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4F0C3E6-561D-4422-9150-5BAAC6BF0E2D}">
      <dsp:nvSpPr>
        <dsp:cNvPr id="0" name=""/>
        <dsp:cNvSpPr/>
      </dsp:nvSpPr>
      <dsp:spPr>
        <a:xfrm>
          <a:off x="1171413" y="1979132"/>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Участь у державних програмах</a:t>
          </a:r>
        </a:p>
      </dsp:txBody>
      <dsp:txXfrm>
        <a:off x="1198741" y="2006460"/>
        <a:ext cx="806612" cy="505168"/>
      </dsp:txXfrm>
    </dsp:sp>
    <dsp:sp modelId="{2A0FD86B-C313-4F11-96FF-323A98D4B612}">
      <dsp:nvSpPr>
        <dsp:cNvPr id="0" name=""/>
        <dsp:cNvSpPr/>
      </dsp:nvSpPr>
      <dsp:spPr>
        <a:xfrm>
          <a:off x="1425510" y="282510"/>
          <a:ext cx="2635379" cy="2635379"/>
        </a:xfrm>
        <a:custGeom>
          <a:avLst/>
          <a:gdLst/>
          <a:ahLst/>
          <a:cxnLst/>
          <a:rect l="0" t="0" r="0" b="0"/>
          <a:pathLst>
            <a:path>
              <a:moveTo>
                <a:pt x="53502" y="1689357"/>
              </a:moveTo>
              <a:arcTo wR="1317689" hR="1317689" stAng="9817008" swAng="19659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E5239EF-4D50-496F-A636-AF0301D8ABEF}">
      <dsp:nvSpPr>
        <dsp:cNvPr id="0" name=""/>
        <dsp:cNvSpPr/>
      </dsp:nvSpPr>
      <dsp:spPr>
        <a:xfrm>
          <a:off x="1171413" y="661443"/>
          <a:ext cx="861268" cy="559824"/>
        </a:xfrm>
        <a:prstGeom prst="roundRect">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uk-UA" sz="800" kern="1200">
              <a:solidFill>
                <a:sysClr val="windowText" lastClr="000000"/>
              </a:solidFill>
              <a:latin typeface="Times New Roman" panose="02020603050405020304" pitchFamily="18" charset="0"/>
              <a:cs typeface="Times New Roman" panose="02020603050405020304" pitchFamily="18" charset="0"/>
            </a:rPr>
            <a:t>Формування резервного фонду ліквідності</a:t>
          </a:r>
        </a:p>
      </dsp:txBody>
      <dsp:txXfrm>
        <a:off x="1198741" y="688771"/>
        <a:ext cx="806612" cy="505168"/>
      </dsp:txXfrm>
    </dsp:sp>
    <dsp:sp modelId="{420D99F5-D6EB-4425-B069-6BF09EF54457}">
      <dsp:nvSpPr>
        <dsp:cNvPr id="0" name=""/>
        <dsp:cNvSpPr/>
      </dsp:nvSpPr>
      <dsp:spPr>
        <a:xfrm>
          <a:off x="1425510" y="282510"/>
          <a:ext cx="2635379" cy="2635379"/>
        </a:xfrm>
        <a:custGeom>
          <a:avLst/>
          <a:gdLst/>
          <a:ahLst/>
          <a:cxnLst/>
          <a:rect l="0" t="0" r="0" b="0"/>
          <a:pathLst>
            <a:path>
              <a:moveTo>
                <a:pt x="397156" y="374861"/>
              </a:moveTo>
              <a:arcTo wR="1317689" hR="1317689" stAng="13541131" swAng="1499184"/>
            </a:path>
          </a:pathLst>
        </a:custGeom>
        <a:noFill/>
        <a:ln w="6350" cap="flat" cmpd="sng" algn="ctr">
          <a:solidFill>
            <a:schemeClr val="dk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14562</Words>
  <Characters>8301</Characters>
  <Application>Microsoft Office Word</Application>
  <DocSecurity>0</DocSecurity>
  <Lines>69</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Терещук</dc:creator>
  <cp:keywords/>
  <dc:description/>
  <cp:lastModifiedBy>User</cp:lastModifiedBy>
  <cp:revision>24</cp:revision>
  <dcterms:created xsi:type="dcterms:W3CDTF">2025-11-12T16:27:00Z</dcterms:created>
  <dcterms:modified xsi:type="dcterms:W3CDTF">2025-11-19T17:26:00Z</dcterms:modified>
</cp:coreProperties>
</file>