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8FA7" w14:textId="77777777" w:rsidR="00780E02" w:rsidRDefault="00CE5ACA" w:rsidP="0078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СИНТАКСИЧНІ ОСОБЛИВОСТІ </w:t>
      </w:r>
    </w:p>
    <w:p w14:paraId="2F81E6C7" w14:textId="00C1F8C0" w:rsidR="00A42321" w:rsidRDefault="00CE5ACA" w:rsidP="0078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ОДНОСКЛАДНИХ РЕЧЕНЬ АПЕЛЯЦІЇ</w:t>
      </w:r>
    </w:p>
    <w:p w14:paraId="557E44D6" w14:textId="77777777" w:rsidR="00780E02" w:rsidRDefault="00E25D1A" w:rsidP="0078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Вітрук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Надія</w:t>
      </w:r>
    </w:p>
    <w:p w14:paraId="38584E25" w14:textId="77777777" w:rsidR="00780E02" w:rsidRDefault="00780E02" w:rsidP="00780E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кандидат філологічних наук, асистент кафедри історії та культури української мови Чернівецького національного університету </w:t>
      </w:r>
    </w:p>
    <w:p w14:paraId="2EBABFA1" w14:textId="77777777" w:rsidR="00780E02" w:rsidRDefault="00780E02" w:rsidP="00780E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імені Юрія Федьковича   </w:t>
      </w:r>
    </w:p>
    <w:p w14:paraId="63451FCE" w14:textId="4D564354" w:rsidR="00E25D1A" w:rsidRDefault="00780E02" w:rsidP="0078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  <w:lang w:val="en-US"/>
          </w:rPr>
          <w:t>n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  <w:lang w:val="en-US"/>
          </w:rPr>
          <w:t>l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  <w:lang w:val="en-US"/>
          </w:rPr>
          <w:t>vitruk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  <w:lang w:val="en-US"/>
          </w:rPr>
          <w:t>gmail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  <w:lang w:val="en-US"/>
          </w:rPr>
          <w:t>com</w:t>
        </w:r>
      </w:hyperlink>
      <w:r w:rsidR="00E25D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DACE5A" w14:textId="77777777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Односкладні речення апеляції, як один із різновидів односкладних іменних синтаксичних одиниць, у сучасній українській літературній мові мають цілу низку властивих їм структурних та семантичних ознак, визначених функційним призначенням грамем ‒ називати адресата та водночас спонукати його до сприйняття мовлення, сподіваючись зазвичай на певну відповідь, реакцію, дію.</w:t>
      </w:r>
    </w:p>
    <w:p w14:paraId="562B18AD" w14:textId="6CCC1DD0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Структурна представленість односкладних речень апеляції ‒ </w:t>
      </w:r>
      <w:proofErr w:type="spellStart"/>
      <w:r>
        <w:rPr>
          <w:rFonts w:ascii="Times New Roman" w:hAnsi="Times New Roman"/>
          <w:sz w:val="28"/>
          <w:szCs w:val="28"/>
        </w:rPr>
        <w:t>різноваріантна</w:t>
      </w:r>
      <w:proofErr w:type="spellEnd"/>
      <w:r>
        <w:rPr>
          <w:rFonts w:ascii="Times New Roman" w:hAnsi="Times New Roman"/>
          <w:sz w:val="28"/>
          <w:szCs w:val="28"/>
        </w:rPr>
        <w:t xml:space="preserve"> і утворена, як правило, шляхом комбінованого поєднання головного члена найчастіше з означеннями та вигуками, значно рідше ‒ з додатками, обставинами та частками. Розміщення тих чи тих структурних компонентів стосовно головного члена речення абсолютно не впливає на формально-синтаксичну співвіднесеність цих конструкцій з іншими </w:t>
      </w:r>
      <w:proofErr w:type="spellStart"/>
      <w:r>
        <w:rPr>
          <w:rFonts w:ascii="Times New Roman" w:hAnsi="Times New Roman"/>
          <w:sz w:val="28"/>
          <w:szCs w:val="28"/>
        </w:rPr>
        <w:t>мовними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одиницями, оскільки корегується </w:t>
      </w:r>
      <w:r w:rsidR="00874665">
        <w:rPr>
          <w:rFonts w:ascii="Times New Roman" w:hAnsi="Times New Roman"/>
          <w:sz w:val="28"/>
          <w:szCs w:val="28"/>
        </w:rPr>
        <w:t>найперше</w:t>
      </w:r>
      <w:r>
        <w:rPr>
          <w:rFonts w:ascii="Times New Roman" w:hAnsi="Times New Roman"/>
          <w:sz w:val="28"/>
          <w:szCs w:val="28"/>
        </w:rPr>
        <w:t xml:space="preserve"> функційно-семантичною спрямованістю конструкцій.</w:t>
      </w:r>
    </w:p>
    <w:p w14:paraId="4E5E97B6" w14:textId="637DFA38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Зазвичай структурними елементами вокативних одиниць у ролі головного члена та його компонентів виступають іменні частини мови, їх відмінкові чи прийменниково-відмінкові форми. Інколи для називання особи чи її характеристики використовують дієприкметники, а для вираження обставинних значень в окремих випадках можуть бути вжиті прислівники місця або часу.</w:t>
      </w:r>
    </w:p>
    <w:p w14:paraId="1DEF0C6B" w14:textId="4CB98C15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Вагомою структурною особливістю односкладних речень апеляції є те, що у складі конструкції разом з головним членом уживають особові займенникові іменники </w:t>
      </w:r>
      <w:r w:rsidRPr="00AB11C7">
        <w:rPr>
          <w:rFonts w:ascii="Times New Roman" w:hAnsi="Times New Roman"/>
          <w:b/>
          <w:i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11C7">
        <w:rPr>
          <w:rFonts w:ascii="Times New Roman" w:hAnsi="Times New Roman"/>
          <w:b/>
          <w:i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, які, щоправда, не вказують на особу, предмет чи явище, а виконують підсилювальну, наближену до часток, функцію і виступають </w:t>
      </w:r>
      <w:proofErr w:type="spellStart"/>
      <w:r>
        <w:rPr>
          <w:rFonts w:ascii="Times New Roman" w:hAnsi="Times New Roman"/>
          <w:sz w:val="28"/>
          <w:szCs w:val="28"/>
        </w:rPr>
        <w:t>імтимізувальним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(чинником зближення з читачем) та стилістичним засобом.</w:t>
      </w:r>
    </w:p>
    <w:p w14:paraId="76BC1C8A" w14:textId="77777777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чи відсутність однорідних головних членів, означень, додатків, обставин та їх повторів сприяє виокремленню різних за структурною організацією типів односкладних речень апеляції: елементарних </w:t>
      </w:r>
      <w:r w:rsidRPr="005F15E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неелементарних, однослівних рядів </w:t>
      </w:r>
      <w:r w:rsidRPr="0004079B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неоднослівних рядів. Об’єднуючись між собою, неелементарні за будовою речення можуть утворювати складні безсполучникові конструкції.</w:t>
      </w:r>
    </w:p>
    <w:p w14:paraId="299FD8C3" w14:textId="77777777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Найважливішу роль в утворенні й функціонуванні речень апеляції відіграє семантика, яка окреслює предметний і поняттєвий зміст сказаного та висвітлює ставлення суб’єкта до позначуваних ним об’єктів. Семантику вокативних речень визначено як синкретичну, тобто таку, яка сконцентровує в одно-, </w:t>
      </w:r>
      <w:proofErr w:type="spellStart"/>
      <w:r>
        <w:rPr>
          <w:rFonts w:ascii="Times New Roman" w:hAnsi="Times New Roman"/>
          <w:sz w:val="28"/>
          <w:szCs w:val="28"/>
        </w:rPr>
        <w:t>дво</w:t>
      </w:r>
      <w:proofErr w:type="spellEnd"/>
      <w:r>
        <w:rPr>
          <w:rFonts w:ascii="Times New Roman" w:hAnsi="Times New Roman"/>
          <w:sz w:val="28"/>
          <w:szCs w:val="28"/>
        </w:rPr>
        <w:t xml:space="preserve">- чи трислівній конструкції кілька значень ‒ предметності, </w:t>
      </w:r>
      <w:proofErr w:type="spellStart"/>
      <w:r>
        <w:rPr>
          <w:rFonts w:ascii="Times New Roman" w:hAnsi="Times New Roman"/>
          <w:sz w:val="28"/>
          <w:szCs w:val="28"/>
        </w:rPr>
        <w:t>адресатності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спонукальності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оцінності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Семантичне наповнення грамем апеляції залежить від багатьох чинників, що впливають на вибір мовцем номінації адресата мовлення: соціальне становище, походження, професія, зовнішність, поведінка і т. д., тому за значенням односкладні речення апеляції утворюють чимало семантичних груп, головні члени яких називають осіб, тварин, явищ природи, фактів і подій навколишньої дійсності, предметів, речей тощо. Кількість значень урізноманітнюють також переносні вживання структурних компонентів, виражаючи метафору, метонімію чи синекдоху. </w:t>
      </w:r>
    </w:p>
    <w:p w14:paraId="744B89C7" w14:textId="7FD0255F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оцінного елемента в семантичному значенні розподіляє конструкції апеляції на групи речень, що можуть містити позитивну, негативну чи нейтральну оцінку особи (предмета, явища, поняття)</w:t>
      </w:r>
      <w:r w:rsidR="00874665">
        <w:rPr>
          <w:rFonts w:ascii="Times New Roman" w:hAnsi="Times New Roman"/>
          <w:sz w:val="28"/>
          <w:szCs w:val="28"/>
        </w:rPr>
        <w:t>.</w:t>
      </w:r>
    </w:p>
    <w:p w14:paraId="10F18870" w14:textId="777DD471" w:rsidR="00E25D1A" w:rsidRDefault="00E25D1A" w:rsidP="00E25D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Завдяки семантиці односкладні речення апеляції є важливими стилістичними засобами, що надають комунікативнім ситуаціям іронічності, яскраво увиразнюють адресатів мовлення, підкреслюючи їх риси, характер, поведінку. У контексті ці конструкції часто утворюють стилістичні фігури</w:t>
      </w:r>
      <w:r w:rsidR="00FE2D7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еліпсис, повтор, градація, плеоназм, тавтологія, антитеза, парцеляція</w:t>
      </w:r>
      <w:r w:rsidR="00FE2D7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емоційне звучання яких сприяє </w:t>
      </w:r>
      <w:r w:rsidR="00FE2D79">
        <w:rPr>
          <w:rFonts w:ascii="Times New Roman" w:hAnsi="Times New Roman"/>
          <w:sz w:val="28"/>
          <w:szCs w:val="28"/>
        </w:rPr>
        <w:t>кращому</w:t>
      </w:r>
      <w:r>
        <w:rPr>
          <w:rFonts w:ascii="Times New Roman" w:hAnsi="Times New Roman"/>
          <w:sz w:val="28"/>
          <w:szCs w:val="28"/>
        </w:rPr>
        <w:t xml:space="preserve"> художньо-образному розкриттю задума автора.</w:t>
      </w:r>
    </w:p>
    <w:p w14:paraId="1BC55322" w14:textId="314BE34B" w:rsidR="00CE5ACA" w:rsidRPr="00CE5ACA" w:rsidRDefault="00E25D1A" w:rsidP="00FE2D7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2EBB">
        <w:rPr>
          <w:rFonts w:ascii="Times New Roman" w:hAnsi="Times New Roman"/>
          <w:sz w:val="28"/>
          <w:szCs w:val="28"/>
        </w:rPr>
        <w:t xml:space="preserve">Структурно </w:t>
      </w:r>
      <w:proofErr w:type="spellStart"/>
      <w:r>
        <w:rPr>
          <w:rFonts w:ascii="Times New Roman" w:hAnsi="Times New Roman"/>
          <w:sz w:val="28"/>
          <w:szCs w:val="28"/>
        </w:rPr>
        <w:t>різноваріантні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емоційно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багаті, </w:t>
      </w:r>
      <w:proofErr w:type="spellStart"/>
      <w:r>
        <w:rPr>
          <w:rFonts w:ascii="Times New Roman" w:hAnsi="Times New Roman"/>
          <w:sz w:val="28"/>
          <w:szCs w:val="28"/>
        </w:rPr>
        <w:t>поліфункційні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семантично необмежені за лексичним наповненням головного члена конструкції апеляції об’єднує загальне граматичне значення, специфіка вираження якого визначена експліцитною / імпліцитною реалізацією певних граматичних категорій та відношеннями між ними.</w:t>
      </w:r>
    </w:p>
    <w:sectPr w:rsidR="00CE5ACA" w:rsidRPr="00CE5ACA" w:rsidSect="00CE5A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5B"/>
    <w:rsid w:val="00197AF0"/>
    <w:rsid w:val="00780E02"/>
    <w:rsid w:val="007E1C5B"/>
    <w:rsid w:val="008426C4"/>
    <w:rsid w:val="00874665"/>
    <w:rsid w:val="00A42321"/>
    <w:rsid w:val="00AA25F6"/>
    <w:rsid w:val="00CE5ACA"/>
    <w:rsid w:val="00E25D1A"/>
    <w:rsid w:val="00F445F7"/>
    <w:rsid w:val="00FC6F19"/>
    <w:rsid w:val="00FE2D79"/>
    <w:rsid w:val="00FF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ADDE"/>
  <w15:chartTrackingRefBased/>
  <w15:docId w15:val="{CC730FF3-026F-4213-A2A8-5AD3AF03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l.vitru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2617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Nadiya Vitruk</dc:creator>
  <cp:keywords/>
  <dc:description/>
  <cp:lastModifiedBy>Nadiya Vitruk</cp:lastModifiedBy>
  <cp:revision>14</cp:revision>
  <dcterms:created xsi:type="dcterms:W3CDTF">2022-04-28T18:12:00Z</dcterms:created>
  <dcterms:modified xsi:type="dcterms:W3CDTF">2022-04-28T19:03:00Z</dcterms:modified>
</cp:coreProperties>
</file>