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B9E7" w14:textId="4C717946" w:rsidR="00000000" w:rsidRDefault="00E46147">
      <w:r w:rsidRPr="00E46147">
        <w:t>https://doi.org/10.1016/j.catena.2023.107523</w:t>
      </w:r>
    </w:p>
    <w:sectPr w:rsidR="00EB56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47"/>
    <w:rsid w:val="00471324"/>
    <w:rsid w:val="0067059D"/>
    <w:rsid w:val="00927968"/>
    <w:rsid w:val="00DE77AB"/>
    <w:rsid w:val="00E4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D643"/>
  <w15:chartTrackingRefBased/>
  <w15:docId w15:val="{AE051C94-9D17-4759-A71D-F7207823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Холявчук Олексій Васильович</dc:creator>
  <cp:keywords/>
  <dc:description/>
  <cp:lastModifiedBy>Холявчук Олексій Васильович</cp:lastModifiedBy>
  <cp:revision>1</cp:revision>
  <dcterms:created xsi:type="dcterms:W3CDTF">2023-11-13T14:18:00Z</dcterms:created>
  <dcterms:modified xsi:type="dcterms:W3CDTF">2023-11-13T14:18:00Z</dcterms:modified>
</cp:coreProperties>
</file>