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74555" w:rsidRPr="00974555" w:rsidRDefault="00974555" w:rsidP="00974555">
      <w:pPr>
        <w:spacing w:after="0" w:line="240" w:lineRule="auto"/>
        <w:rPr>
          <w:rFonts w:ascii="Times New Roman" w:hAnsi="Times New Roman" w:cs="Times New Roman"/>
          <w:sz w:val="24"/>
          <w:szCs w:val="24"/>
        </w:rPr>
      </w:pPr>
      <w:r w:rsidRPr="00974555">
        <w:rPr>
          <w:rFonts w:ascii="Times New Roman" w:hAnsi="Times New Roman" w:cs="Times New Roman"/>
          <w:b/>
          <w:bCs/>
          <w:sz w:val="24"/>
          <w:szCs w:val="24"/>
        </w:rPr>
        <w:t>УДК:</w:t>
      </w:r>
      <w:r w:rsidRPr="00974555">
        <w:rPr>
          <w:rFonts w:ascii="Times New Roman" w:hAnsi="Times New Roman" w:cs="Times New Roman"/>
          <w:sz w:val="24"/>
          <w:szCs w:val="24"/>
        </w:rPr>
        <w:t xml:space="preserve"> 316.4.06:004.77 </w:t>
      </w:r>
    </w:p>
    <w:p w:rsidR="00974555" w:rsidRDefault="00974555" w:rsidP="00974555">
      <w:pPr>
        <w:spacing w:after="0" w:line="240" w:lineRule="auto"/>
        <w:rPr>
          <w:rFonts w:ascii="Times New Roman" w:hAnsi="Times New Roman" w:cs="Times New Roman"/>
          <w:b/>
          <w:bCs/>
          <w:sz w:val="24"/>
          <w:szCs w:val="24"/>
        </w:rPr>
      </w:pPr>
      <w:r w:rsidRPr="00974555">
        <w:rPr>
          <w:rFonts w:ascii="Times New Roman" w:hAnsi="Times New Roman" w:cs="Times New Roman"/>
          <w:b/>
          <w:bCs/>
          <w:sz w:val="24"/>
          <w:szCs w:val="24"/>
        </w:rPr>
        <w:t>Чаплак Я., канд. психол н., доц</w:t>
      </w:r>
      <w:r>
        <w:rPr>
          <w:rFonts w:ascii="Times New Roman" w:hAnsi="Times New Roman" w:cs="Times New Roman"/>
          <w:b/>
          <w:bCs/>
          <w:sz w:val="24"/>
          <w:szCs w:val="24"/>
        </w:rPr>
        <w:t>.</w:t>
      </w:r>
    </w:p>
    <w:p w:rsidR="00974555" w:rsidRPr="00974555" w:rsidRDefault="00974555" w:rsidP="00974555">
      <w:pPr>
        <w:spacing w:after="0" w:line="240" w:lineRule="auto"/>
        <w:rPr>
          <w:rFonts w:ascii="Times New Roman" w:hAnsi="Times New Roman" w:cs="Times New Roman"/>
          <w:sz w:val="24"/>
          <w:szCs w:val="24"/>
        </w:rPr>
      </w:pPr>
      <w:r>
        <w:rPr>
          <w:rFonts w:ascii="Times New Roman" w:hAnsi="Times New Roman" w:cs="Times New Roman"/>
          <w:sz w:val="24"/>
          <w:szCs w:val="24"/>
        </w:rPr>
        <w:t>Чернівецький національний університет імені Юрія Федьковича, Україна</w:t>
      </w:r>
    </w:p>
    <w:p w:rsidR="00B96CAC" w:rsidRPr="00C07959" w:rsidRDefault="00E72507" w:rsidP="00C0795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 НЕБЕЗПЕКУ РОСІЙСЬКОМОВНОГО КОНТЕНТУ</w:t>
      </w:r>
      <w:r w:rsidR="006919D5">
        <w:rPr>
          <w:rFonts w:ascii="Times New Roman" w:hAnsi="Times New Roman" w:cs="Times New Roman"/>
          <w:b/>
          <w:bCs/>
          <w:sz w:val="24"/>
          <w:szCs w:val="24"/>
        </w:rPr>
        <w:t xml:space="preserve"> МОСКОВІЇ</w:t>
      </w:r>
      <w:r>
        <w:rPr>
          <w:rFonts w:ascii="Times New Roman" w:hAnsi="Times New Roman" w:cs="Times New Roman"/>
          <w:b/>
          <w:bCs/>
          <w:sz w:val="24"/>
          <w:szCs w:val="24"/>
        </w:rPr>
        <w:t xml:space="preserve"> НА ТЕРЕНАХ ЦИФРОВОГО СВІТУ</w:t>
      </w:r>
    </w:p>
    <w:p w:rsidR="00B61EAA" w:rsidRDefault="00B61EAA" w:rsidP="00B96CAC">
      <w:pPr>
        <w:spacing w:after="0" w:line="240" w:lineRule="auto"/>
        <w:ind w:firstLine="567"/>
        <w:jc w:val="both"/>
        <w:rPr>
          <w:rFonts w:ascii="Times New Roman" w:hAnsi="Times New Roman" w:cs="Times New Roman"/>
          <w:sz w:val="24"/>
          <w:szCs w:val="24"/>
        </w:rPr>
      </w:pPr>
    </w:p>
    <w:p w:rsidR="00974555" w:rsidRPr="00974555" w:rsidRDefault="00974555" w:rsidP="00974555">
      <w:pPr>
        <w:spacing w:after="0" w:line="240" w:lineRule="auto"/>
        <w:jc w:val="both"/>
        <w:rPr>
          <w:rFonts w:ascii="Times New Roman" w:hAnsi="Times New Roman" w:cs="Times New Roman"/>
          <w:b/>
          <w:bCs/>
          <w:sz w:val="24"/>
          <w:szCs w:val="24"/>
        </w:rPr>
      </w:pPr>
      <w:r w:rsidRPr="00974555">
        <w:rPr>
          <w:rFonts w:ascii="Times New Roman" w:hAnsi="Times New Roman" w:cs="Times New Roman"/>
          <w:b/>
          <w:bCs/>
          <w:sz w:val="24"/>
          <w:szCs w:val="24"/>
        </w:rPr>
        <w:t>Chaplak Ya., Ph.D., Assoc. Prof.</w:t>
      </w:r>
    </w:p>
    <w:p w:rsidR="00974555" w:rsidRPr="00892852" w:rsidRDefault="00892852" w:rsidP="00892852">
      <w:pPr>
        <w:spacing w:after="0" w:line="240" w:lineRule="auto"/>
        <w:jc w:val="center"/>
        <w:rPr>
          <w:rFonts w:ascii="Times New Roman" w:hAnsi="Times New Roman" w:cs="Times New Roman"/>
          <w:sz w:val="24"/>
          <w:szCs w:val="24"/>
        </w:rPr>
      </w:pPr>
      <w:r w:rsidRPr="00892852">
        <w:rPr>
          <w:rFonts w:ascii="Times New Roman" w:hAnsi="Times New Roman" w:cs="Times New Roman"/>
          <w:b/>
          <w:bCs/>
          <w:color w:val="000000"/>
          <w:sz w:val="24"/>
          <w:szCs w:val="24"/>
          <w:shd w:val="clear" w:color="auto" w:fill="FFFFFF"/>
          <w:lang w:val="en-US"/>
        </w:rPr>
        <w:t>ON THE DANGER OF RUSSIAN LANGUAGE CONTENT OF MOSCOWIA ON THE TERRITORY OF THE DIGITAL WORLD</w:t>
      </w:r>
    </w:p>
    <w:p w:rsidR="00892852" w:rsidRDefault="00892852" w:rsidP="00B96CAC">
      <w:pPr>
        <w:spacing w:after="0" w:line="240" w:lineRule="auto"/>
        <w:ind w:firstLine="567"/>
        <w:jc w:val="both"/>
        <w:rPr>
          <w:rFonts w:ascii="Times New Roman" w:hAnsi="Times New Roman" w:cs="Times New Roman"/>
          <w:sz w:val="24"/>
          <w:szCs w:val="24"/>
        </w:rPr>
      </w:pPr>
    </w:p>
    <w:p w:rsidR="00222BF5" w:rsidRDefault="00222BF5" w:rsidP="00B96CAC">
      <w:pPr>
        <w:spacing w:after="0" w:line="240" w:lineRule="auto"/>
        <w:ind w:firstLine="567"/>
        <w:jc w:val="both"/>
        <w:rPr>
          <w:rFonts w:ascii="Times New Roman" w:hAnsi="Times New Roman" w:cs="Times New Roman"/>
          <w:sz w:val="24"/>
          <w:szCs w:val="24"/>
        </w:rPr>
      </w:pPr>
      <w:r w:rsidRPr="00B96CAC">
        <w:rPr>
          <w:rFonts w:ascii="Times New Roman" w:hAnsi="Times New Roman" w:cs="Times New Roman"/>
          <w:sz w:val="24"/>
          <w:szCs w:val="24"/>
        </w:rPr>
        <w:t>Домінуюча сфера аудиторії пропутінських інформаційно-комунікативних марафонів – це не тільки громадяни країни-терориста, але й певна частина людей, які проживають в різних куточках світу та є російськомовними. Саме з використанням вербальних технологій соціально-психологічного впливу пропаганда кремля досягає найвищих результатів через російськомовні джерела у порівнянні з промосковськими інформаційно-комунікативними потоками на інших мовах. Це пояснюється тим, що: 1) прокремлівські соціальні інституції з розробки психолінгвістичних технологій впливу на російськомовну аудиторію досягли результативності високого рівня; 2) кібербезпека західного світу ефективно спрацьовувала на фейкові «вкиди» московії в марафонах на інших мовах</w:t>
      </w:r>
      <w:r w:rsidR="00892852">
        <w:rPr>
          <w:rFonts w:ascii="Times New Roman" w:hAnsi="Times New Roman" w:cs="Times New Roman"/>
          <w:sz w:val="24"/>
          <w:szCs w:val="24"/>
        </w:rPr>
        <w:t>, тому результативність є низькою</w:t>
      </w:r>
      <w:r w:rsidRPr="00B96CAC">
        <w:rPr>
          <w:rFonts w:ascii="Times New Roman" w:hAnsi="Times New Roman" w:cs="Times New Roman"/>
          <w:sz w:val="24"/>
          <w:szCs w:val="24"/>
        </w:rPr>
        <w:t xml:space="preserve">; 3) у пропаганди кремля бракувало психолінгвістичних технологій впливу на неросійськомовну аудиторію світу та </w:t>
      </w:r>
      <w:r w:rsidR="003537F0">
        <w:rPr>
          <w:rFonts w:ascii="Times New Roman" w:hAnsi="Times New Roman" w:cs="Times New Roman"/>
          <w:sz w:val="24"/>
          <w:szCs w:val="24"/>
        </w:rPr>
        <w:t xml:space="preserve">відповідної кількості </w:t>
      </w:r>
      <w:r w:rsidRPr="00B96CAC">
        <w:rPr>
          <w:rFonts w:ascii="Times New Roman" w:hAnsi="Times New Roman" w:cs="Times New Roman"/>
          <w:sz w:val="24"/>
          <w:szCs w:val="24"/>
        </w:rPr>
        <w:t>фахівців, які б володіли культурою та мовою тієї чи іншої країни. Окрім цього, фактично не було стримуючих важелів та відповідного контролю з боку кібербезпеки демократичного світу щодо діяльності російськомовних потоків до початку злочинної повномасштабної війни рф проти незалежної України.</w:t>
      </w:r>
    </w:p>
    <w:p w:rsidR="008A094B" w:rsidRPr="008A094B" w:rsidRDefault="008A094B" w:rsidP="008A094B">
      <w:pPr>
        <w:spacing w:after="0" w:line="240" w:lineRule="auto"/>
        <w:ind w:firstLine="567"/>
        <w:jc w:val="both"/>
        <w:rPr>
          <w:rFonts w:ascii="Times New Roman" w:hAnsi="Times New Roman" w:cs="Times New Roman"/>
          <w:sz w:val="24"/>
          <w:szCs w:val="24"/>
        </w:rPr>
      </w:pPr>
      <w:r w:rsidRPr="008A094B">
        <w:rPr>
          <w:rFonts w:ascii="Times New Roman" w:hAnsi="Times New Roman" w:cs="Times New Roman"/>
          <w:sz w:val="24"/>
          <w:szCs w:val="24"/>
        </w:rPr>
        <w:t>Методи інформаційно-психологічної війни представляють собою сукупність прийомів і способів створення основного інструменту цього різновиду війни – фейків. Ці методи впливають на індивідуальну та масову свідомість об’єктів інформаційно-психологічного впливу. Саме в російськомовних інформаційно-комунікативних марафонах пропаганда путіна досить вдало застосовує фейки як основний інструмент інформаційно-психологічної війни, що представляють собою простий чи складний образ, який несе в собі викривлену інформацію та здійснюють вплив на свідомість і психіку об’єктів впливу</w:t>
      </w:r>
      <w:r w:rsidR="003537F0" w:rsidRPr="00A4294F">
        <w:rPr>
          <w:rFonts w:ascii="Times New Roman" w:hAnsi="Times New Roman" w:cs="Times New Roman"/>
          <w:sz w:val="24"/>
          <w:szCs w:val="24"/>
        </w:rPr>
        <w:t>[</w:t>
      </w:r>
      <w:r w:rsidR="003537F0">
        <w:rPr>
          <w:rFonts w:ascii="Times New Roman" w:hAnsi="Times New Roman" w:cs="Times New Roman"/>
          <w:sz w:val="24"/>
          <w:szCs w:val="24"/>
        </w:rPr>
        <w:t>1</w:t>
      </w:r>
      <w:r w:rsidR="003537F0" w:rsidRPr="00A4294F">
        <w:rPr>
          <w:rFonts w:ascii="Times New Roman" w:hAnsi="Times New Roman" w:cs="Times New Roman"/>
          <w:sz w:val="24"/>
          <w:szCs w:val="24"/>
        </w:rPr>
        <w:t>]</w:t>
      </w:r>
      <w:r w:rsidRPr="008A094B">
        <w:rPr>
          <w:rFonts w:ascii="Times New Roman" w:hAnsi="Times New Roman" w:cs="Times New Roman"/>
          <w:sz w:val="24"/>
          <w:szCs w:val="24"/>
        </w:rPr>
        <w:t>.</w:t>
      </w:r>
    </w:p>
    <w:p w:rsidR="00222BF5" w:rsidRPr="00B96CAC" w:rsidRDefault="00222BF5" w:rsidP="00B96CAC">
      <w:pPr>
        <w:spacing w:after="0" w:line="240" w:lineRule="auto"/>
        <w:ind w:firstLine="567"/>
        <w:jc w:val="both"/>
        <w:rPr>
          <w:rFonts w:ascii="Times New Roman" w:hAnsi="Times New Roman" w:cs="Times New Roman"/>
          <w:sz w:val="24"/>
          <w:szCs w:val="24"/>
        </w:rPr>
      </w:pPr>
      <w:r w:rsidRPr="00B96CAC">
        <w:rPr>
          <w:rFonts w:ascii="Times New Roman" w:hAnsi="Times New Roman" w:cs="Times New Roman"/>
          <w:sz w:val="24"/>
          <w:szCs w:val="24"/>
        </w:rPr>
        <w:t>Пропаганда кремля у своїх дискурсах постійно використовує прийом створення ідеологічної поляризації, що виникає на основі маніпулятивного нав’язування об’єкту впливу цінностей та ідей через призму контрастних категорій «свій-чужий» з метою відповідної трансформації пропутінської картини світу та управління образом взаємодії з оточуючим світом. Функціональні критерії структури прокремлівської пропаганди в полікультурному просторі масової комунікації побудовані на маркерах маніпулятивного характеру, що сигналізують про спрямованість комунікативного стратегічного інструментарію вербального впливу з нав’язуванням ідеології кремля. У всіх пропутінських російськомовних політичних інформаційно-комунікативних марафонах можна знайти вербальні маркери інформаційно-психологічного впливу на одиниці мови, що втілюють прагматичний потенціал основних стратегій управління – позитивної самопрезентації, тобто, евфемізації «своїх» та подання опонента в негативному варіанті, тобто, дсфемізації «чужих». З метою лінгвокомунікативного впливу маніпулятивного характеру на акторів впливу в російськомовних інформаційно-комунікативних потоках досить широко використовують тексти російської класичної та сучасної художньої літератури, що насичена різноманітними формами вербальної комунікації.</w:t>
      </w:r>
    </w:p>
    <w:p w:rsidR="00B96CAC" w:rsidRDefault="00B96CAC" w:rsidP="00B96CAC">
      <w:pPr>
        <w:spacing w:after="0" w:line="240" w:lineRule="auto"/>
        <w:ind w:firstLine="567"/>
        <w:jc w:val="both"/>
        <w:rPr>
          <w:rFonts w:ascii="Times New Roman" w:hAnsi="Times New Roman" w:cs="Times New Roman"/>
          <w:sz w:val="24"/>
          <w:szCs w:val="24"/>
        </w:rPr>
      </w:pPr>
      <w:r w:rsidRPr="00B96CAC">
        <w:rPr>
          <w:rFonts w:ascii="Times New Roman" w:hAnsi="Times New Roman" w:cs="Times New Roman"/>
          <w:sz w:val="24"/>
          <w:szCs w:val="24"/>
        </w:rPr>
        <w:lastRenderedPageBreak/>
        <w:t>Маніпулятивна сутність російськомовних інформаційно-комунікативних марафонів прокремлівської пропаганди на комунікативному рівні полягає в цілеспрямованому викривленні дійсності у формі подій, думок, фактів, спрямованих на здійснення прихованого соціально-психологічного впливу на свідому та емоційну категорії аудиторії для мотивації запрограмованого розвитку мисленнєвого та поведінкового типів діяльності</w:t>
      </w:r>
      <w:r w:rsidR="003537F0" w:rsidRPr="00A4294F">
        <w:rPr>
          <w:rFonts w:ascii="Times New Roman" w:hAnsi="Times New Roman" w:cs="Times New Roman"/>
          <w:sz w:val="24"/>
          <w:szCs w:val="24"/>
        </w:rPr>
        <w:t>[</w:t>
      </w:r>
      <w:r w:rsidR="003537F0">
        <w:rPr>
          <w:rFonts w:ascii="Times New Roman" w:hAnsi="Times New Roman" w:cs="Times New Roman"/>
          <w:sz w:val="24"/>
          <w:szCs w:val="24"/>
        </w:rPr>
        <w:t>3</w:t>
      </w:r>
      <w:bookmarkStart w:id="0" w:name="_GoBack"/>
      <w:bookmarkEnd w:id="0"/>
      <w:r w:rsidR="003537F0" w:rsidRPr="00A4294F">
        <w:rPr>
          <w:rFonts w:ascii="Times New Roman" w:hAnsi="Times New Roman" w:cs="Times New Roman"/>
          <w:sz w:val="24"/>
          <w:szCs w:val="24"/>
        </w:rPr>
        <w:t>]</w:t>
      </w:r>
      <w:r w:rsidRPr="00B96CAC">
        <w:rPr>
          <w:rFonts w:ascii="Times New Roman" w:hAnsi="Times New Roman" w:cs="Times New Roman"/>
          <w:sz w:val="24"/>
          <w:szCs w:val="24"/>
        </w:rPr>
        <w:t>.</w:t>
      </w:r>
      <w:r w:rsidR="00B61EAA">
        <w:rPr>
          <w:rFonts w:ascii="Times New Roman" w:hAnsi="Times New Roman" w:cs="Times New Roman"/>
          <w:sz w:val="24"/>
          <w:szCs w:val="24"/>
        </w:rPr>
        <w:t xml:space="preserve"> </w:t>
      </w:r>
      <w:r w:rsidRPr="00B96CAC">
        <w:rPr>
          <w:rFonts w:ascii="Times New Roman" w:hAnsi="Times New Roman" w:cs="Times New Roman"/>
          <w:sz w:val="24"/>
          <w:szCs w:val="24"/>
        </w:rPr>
        <w:t>У результатів маніпулятивних дій ЗМІ формуються завчасно визначені думки та відношення до реальних подій, що трансформують думки та відношення російськомовної аудиторії до фактів.</w:t>
      </w:r>
    </w:p>
    <w:p w:rsidR="00B61EAA" w:rsidRDefault="00761367" w:rsidP="00B61EAA">
      <w:pPr>
        <w:spacing w:after="0" w:line="240" w:lineRule="auto"/>
        <w:ind w:firstLine="567"/>
        <w:jc w:val="both"/>
        <w:rPr>
          <w:rFonts w:ascii="Times New Roman" w:hAnsi="Times New Roman" w:cs="Times New Roman"/>
          <w:sz w:val="24"/>
          <w:szCs w:val="24"/>
        </w:rPr>
      </w:pPr>
      <w:r w:rsidRPr="00761367">
        <w:rPr>
          <w:rFonts w:ascii="Times New Roman" w:hAnsi="Times New Roman" w:cs="Times New Roman"/>
          <w:sz w:val="24"/>
          <w:szCs w:val="24"/>
        </w:rPr>
        <w:t>Сьогодні рф представляє собою центр глобального фашизму. У процесі зомбування пропагандистські прокремлівські інформаційно-комунікативні марафони перетворили все російське на матрицю гнилого культурного середовища збочень і злочинності, цинізму та брехливості, лицемірства та насилля, представляючи собою велику загрозу для демократичних цінностей всього світу. При цьому, відкрито користується політичними видумками та посипає своїх опонентів образами, не даючи часу об’єктам впливу на обдумування інформації. Держава-терорист старається розповсюдити з допомогою маніпулятивного впливу свою ідеологічну та політичну владу на весь демократичний світ, пробує вести боротьбу з усіма та проти всіх. У розробку технологічного інструментарію інформаційних воєн з метою знищення фундаментальних цінностей демократичних цінностей цей злочинний тоталітарний зомбокаток задіяв фахівців з різних галузей: істориків, антропологів, соціологів, філософів, психологів, економістів, програмістів тощо. Тобто, з допомогою відповідних кібероперацій проти демократичного світу кремль прагне змінити дійсність.</w:t>
      </w:r>
      <w:r w:rsidR="006919D5">
        <w:rPr>
          <w:rFonts w:ascii="Times New Roman" w:hAnsi="Times New Roman" w:cs="Times New Roman"/>
          <w:sz w:val="24"/>
          <w:szCs w:val="24"/>
        </w:rPr>
        <w:t xml:space="preserve"> </w:t>
      </w:r>
      <w:r w:rsidR="00B61EAA" w:rsidRPr="00B61EAA">
        <w:rPr>
          <w:rFonts w:ascii="Times New Roman" w:hAnsi="Times New Roman" w:cs="Times New Roman"/>
          <w:sz w:val="24"/>
          <w:szCs w:val="24"/>
        </w:rPr>
        <w:t>У московії займаються розробкою цілих технологічних інструментаріїв для російськомовних інформаційно-комунікативних потоків, що допомагають адаптувати будь-яку ситуацію та спрямувати масову свідомість суспільства сприймати її в потрібному руслі.</w:t>
      </w:r>
      <w:r w:rsidR="001923BC">
        <w:rPr>
          <w:rFonts w:ascii="Times New Roman" w:hAnsi="Times New Roman" w:cs="Times New Roman"/>
          <w:sz w:val="24"/>
          <w:szCs w:val="24"/>
        </w:rPr>
        <w:t xml:space="preserve"> </w:t>
      </w:r>
    </w:p>
    <w:p w:rsidR="001923BC" w:rsidRDefault="001923BC" w:rsidP="00B61EA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Таким чином, можна констатувати той факт, що найефективніше пропаганда кремля працює на теренах інформаційно-комунікативних марафонів з тієї причини, що застосовує російськомовний технологічний інструментарій лінгвокогнітивного впливу на свідомість російськомовного населення. Окрім цього, можна спостерігати те, що за допомогою інструментів цифрового світу отруюється прокремлівськими наративами контент незалежних російськомовних інформаційно-комунікативних потоків від країни-терориста. Саме тому, на нашу думку, </w:t>
      </w:r>
      <w:r w:rsidR="007E6BC9">
        <w:rPr>
          <w:rFonts w:ascii="Times New Roman" w:hAnsi="Times New Roman" w:cs="Times New Roman"/>
          <w:sz w:val="24"/>
          <w:szCs w:val="24"/>
        </w:rPr>
        <w:t xml:space="preserve">не тільки посилення санкцій щодо країни-агресора, а й </w:t>
      </w:r>
      <w:r>
        <w:rPr>
          <w:rFonts w:ascii="Times New Roman" w:hAnsi="Times New Roman" w:cs="Times New Roman"/>
          <w:sz w:val="24"/>
          <w:szCs w:val="24"/>
        </w:rPr>
        <w:t xml:space="preserve">блокування на сучасному етапі інформаційного російськомовного контенту на теренах демократичного світу є одним із основних важелів впливу на </w:t>
      </w:r>
      <w:r w:rsidR="007E6BC9">
        <w:rPr>
          <w:rFonts w:ascii="Times New Roman" w:hAnsi="Times New Roman" w:cs="Times New Roman"/>
          <w:sz w:val="24"/>
          <w:szCs w:val="24"/>
        </w:rPr>
        <w:t>терористичну державу</w:t>
      </w:r>
      <w:r>
        <w:rPr>
          <w:rFonts w:ascii="Times New Roman" w:hAnsi="Times New Roman" w:cs="Times New Roman"/>
          <w:sz w:val="24"/>
          <w:szCs w:val="24"/>
        </w:rPr>
        <w:t>.</w:t>
      </w:r>
    </w:p>
    <w:p w:rsidR="00892852" w:rsidRPr="00B61EAA" w:rsidRDefault="00892852" w:rsidP="00B61EAA">
      <w:pPr>
        <w:spacing w:after="0" w:line="240" w:lineRule="auto"/>
        <w:ind w:firstLine="567"/>
        <w:jc w:val="both"/>
        <w:rPr>
          <w:rFonts w:ascii="Times New Roman" w:hAnsi="Times New Roman" w:cs="Times New Roman"/>
          <w:sz w:val="24"/>
          <w:szCs w:val="24"/>
        </w:rPr>
      </w:pPr>
    </w:p>
    <w:p w:rsidR="00B96CAC" w:rsidRPr="00892852" w:rsidRDefault="00892852" w:rsidP="0089285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Література</w:t>
      </w:r>
    </w:p>
    <w:p w:rsidR="00892852" w:rsidRPr="00892852" w:rsidRDefault="00892852" w:rsidP="00892852">
      <w:pPr>
        <w:pStyle w:val="a3"/>
        <w:numPr>
          <w:ilvl w:val="0"/>
          <w:numId w:val="1"/>
        </w:numPr>
        <w:spacing w:before="0" w:beforeAutospacing="0" w:after="0" w:afterAutospacing="0"/>
        <w:jc w:val="both"/>
      </w:pPr>
      <w:r w:rsidRPr="00892852">
        <w:rPr>
          <w:color w:val="000000"/>
        </w:rPr>
        <w:t>Чаплак Я.В., Ілюк М., Лясковська А.-Х. Кіберсоціалізація особистості на теренах цифрового світу. Воєнні конфлікти та техногенні катастрофи: історичні та психологічні наслідки: Збірник тез І Міжнародної наукової конференції присвяченої 35 роковинам аварії на ЧАЕС, 22-23 квітня 2021 р. / Упорядники: А.А. Криськов, В.В. Вишньовський та Н.В. Габрусєва. Тернопіль: ФОП Паляниця В.А., 2021. 168 с. С.131-133. URL:</w:t>
      </w:r>
      <w:hyperlink r:id="rId5" w:history="1">
        <w:r w:rsidRPr="00892852">
          <w:rPr>
            <w:rStyle w:val="a4"/>
            <w:color w:val="000000"/>
          </w:rPr>
          <w:t xml:space="preserve"> </w:t>
        </w:r>
        <w:r w:rsidRPr="00892852">
          <w:rPr>
            <w:rStyle w:val="a4"/>
            <w:color w:val="1155CC"/>
          </w:rPr>
          <w:t>http://elartu.tntu.edu.ua/handle/lib/34867</w:t>
        </w:r>
      </w:hyperlink>
      <w:r w:rsidRPr="00892852">
        <w:rPr>
          <w:color w:val="000000"/>
        </w:rPr>
        <w:t>.</w:t>
      </w:r>
    </w:p>
    <w:p w:rsidR="00892852" w:rsidRPr="00892852" w:rsidRDefault="00892852" w:rsidP="00892852">
      <w:pPr>
        <w:pStyle w:val="a3"/>
        <w:numPr>
          <w:ilvl w:val="0"/>
          <w:numId w:val="1"/>
        </w:numPr>
        <w:shd w:val="clear" w:color="auto" w:fill="FFFFFF"/>
        <w:spacing w:before="0" w:beforeAutospacing="0" w:after="0" w:afterAutospacing="0"/>
        <w:jc w:val="both"/>
      </w:pPr>
      <w:r w:rsidRPr="00892852">
        <w:rPr>
          <w:color w:val="000000"/>
        </w:rPr>
        <w:t xml:space="preserve">Зварич І.М., Чуйко Г.В. Духовний вимір соціуму та людини в ньому. </w:t>
      </w:r>
      <w:r w:rsidRPr="00892852">
        <w:rPr>
          <w:i/>
          <w:iCs/>
          <w:color w:val="000000"/>
        </w:rPr>
        <w:t>Психологічний часопис</w:t>
      </w:r>
      <w:r w:rsidRPr="00892852">
        <w:rPr>
          <w:color w:val="000000"/>
        </w:rPr>
        <w:t xml:space="preserve"> : збірник наукових праць / за ред. С.Д. Максименка. Т.5.  № 4 (22). – К. : Інститут психології імені Г.С. Костюка Національної академії педагогічних наук України, 2019. С. 81-102.  Режим доступу: до статті: DOI (Article):</w:t>
      </w:r>
      <w:hyperlink r:id="rId6" w:history="1">
        <w:r w:rsidRPr="00892852">
          <w:rPr>
            <w:rStyle w:val="a4"/>
            <w:color w:val="000000"/>
          </w:rPr>
          <w:t xml:space="preserve"> </w:t>
        </w:r>
        <w:r w:rsidRPr="00892852">
          <w:rPr>
            <w:rStyle w:val="a4"/>
            <w:color w:val="1155CC"/>
          </w:rPr>
          <w:t>https://doi.org/10.31108/1.2019.5.4.6</w:t>
        </w:r>
      </w:hyperlink>
      <w:r w:rsidRPr="00892852">
        <w:rPr>
          <w:color w:val="000000"/>
        </w:rPr>
        <w:t>;</w:t>
      </w:r>
      <w:hyperlink r:id="rId7" w:history="1">
        <w:r w:rsidRPr="00892852">
          <w:rPr>
            <w:rStyle w:val="a4"/>
            <w:color w:val="000000"/>
          </w:rPr>
          <w:t xml:space="preserve"> </w:t>
        </w:r>
        <w:r w:rsidRPr="00892852">
          <w:rPr>
            <w:rStyle w:val="a4"/>
            <w:color w:val="1155CC"/>
          </w:rPr>
          <w:t>https://www.apsijournal.com/index.php/psyjournal/article/view/563/353</w:t>
        </w:r>
      </w:hyperlink>
      <w:r w:rsidRPr="00892852">
        <w:rPr>
          <w:color w:val="000000"/>
        </w:rPr>
        <w:t>. ISSN 2414-004X</w:t>
      </w:r>
    </w:p>
    <w:p w:rsidR="00892852" w:rsidRPr="00892852" w:rsidRDefault="00892852" w:rsidP="00892852">
      <w:pPr>
        <w:pStyle w:val="a3"/>
        <w:numPr>
          <w:ilvl w:val="0"/>
          <w:numId w:val="1"/>
        </w:numPr>
        <w:shd w:val="clear" w:color="auto" w:fill="FFFFFF"/>
        <w:spacing w:before="0" w:beforeAutospacing="0" w:after="240" w:afterAutospacing="0"/>
        <w:jc w:val="both"/>
      </w:pPr>
      <w:r w:rsidRPr="00892852">
        <w:rPr>
          <w:color w:val="000000"/>
        </w:rPr>
        <w:lastRenderedPageBreak/>
        <w:t>Чуйко Г.В.,</w:t>
      </w:r>
      <w:r w:rsidRPr="00892852">
        <w:rPr>
          <w:color w:val="000000"/>
          <w:shd w:val="clear" w:color="auto" w:fill="FFFFFF"/>
        </w:rPr>
        <w:t xml:space="preserve"> Зварич І.М. </w:t>
      </w:r>
      <w:r w:rsidRPr="00892852">
        <w:rPr>
          <w:color w:val="000000"/>
        </w:rPr>
        <w:t xml:space="preserve">Специфіка інформації в Інтернеті. </w:t>
      </w:r>
      <w:r w:rsidRPr="00892852">
        <w:rPr>
          <w:i/>
          <w:iCs/>
          <w:color w:val="000000"/>
        </w:rPr>
        <w:t xml:space="preserve">Психологічний часопис : збірник наукових праць </w:t>
      </w:r>
      <w:r w:rsidRPr="00892852">
        <w:rPr>
          <w:color w:val="000000"/>
        </w:rPr>
        <w:t>/ за ред. С.Д. Максименка. 2019. Т.5. Вип. 12. К. : Інститут психології імені Г. С. Костюка НАПН України. С.21-42. URL:</w:t>
      </w:r>
      <w:hyperlink r:id="rId8" w:history="1">
        <w:r w:rsidRPr="00892852">
          <w:rPr>
            <w:rStyle w:val="a4"/>
            <w:color w:val="000000"/>
          </w:rPr>
          <w:t xml:space="preserve"> </w:t>
        </w:r>
        <w:r w:rsidRPr="00892852">
          <w:rPr>
            <w:rStyle w:val="a4"/>
            <w:color w:val="1155CC"/>
          </w:rPr>
          <w:t>http://www.apsijournal.com/index.php/psyjournal/article/view/770/474</w:t>
        </w:r>
      </w:hyperlink>
      <w:r w:rsidRPr="00892852">
        <w:rPr>
          <w:color w:val="000000"/>
        </w:rPr>
        <w:t>; DOI:</w:t>
      </w:r>
      <w:hyperlink r:id="rId9" w:history="1">
        <w:r w:rsidRPr="00892852">
          <w:rPr>
            <w:rStyle w:val="a4"/>
            <w:color w:val="000000"/>
          </w:rPr>
          <w:t xml:space="preserve"> </w:t>
        </w:r>
        <w:r w:rsidRPr="00892852">
          <w:rPr>
            <w:rStyle w:val="a4"/>
            <w:color w:val="1155CC"/>
          </w:rPr>
          <w:t>https://doi.org/10.31108/1.2019.5.12.2</w:t>
        </w:r>
      </w:hyperlink>
      <w:r w:rsidRPr="00892852">
        <w:rPr>
          <w:color w:val="000000"/>
        </w:rPr>
        <w:t>. ISSN 2414-0023</w:t>
      </w:r>
    </w:p>
    <w:p w:rsidR="00892852" w:rsidRPr="00892852" w:rsidRDefault="00892852" w:rsidP="00892852">
      <w:pPr>
        <w:spacing w:after="0" w:line="240" w:lineRule="auto"/>
        <w:ind w:firstLine="567"/>
        <w:jc w:val="both"/>
        <w:rPr>
          <w:rFonts w:ascii="Times New Roman" w:hAnsi="Times New Roman" w:cs="Times New Roman"/>
          <w:sz w:val="24"/>
          <w:szCs w:val="24"/>
        </w:rPr>
      </w:pPr>
    </w:p>
    <w:p w:rsidR="00222BF5" w:rsidRDefault="00222BF5" w:rsidP="00222BF5">
      <w:pPr>
        <w:spacing w:after="0" w:line="360" w:lineRule="auto"/>
        <w:ind w:firstLine="567"/>
        <w:jc w:val="both"/>
        <w:rPr>
          <w:rFonts w:ascii="Times New Roman" w:hAnsi="Times New Roman" w:cs="Times New Roman"/>
          <w:sz w:val="28"/>
          <w:szCs w:val="28"/>
        </w:rPr>
      </w:pPr>
    </w:p>
    <w:p w:rsidR="00F8557C" w:rsidRDefault="00F8557C"/>
    <w:sectPr w:rsidR="00F8557C" w:rsidSect="00222BF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250B4"/>
    <w:multiLevelType w:val="hybridMultilevel"/>
    <w:tmpl w:val="B71090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F5"/>
    <w:rsid w:val="001923BC"/>
    <w:rsid w:val="00222BF5"/>
    <w:rsid w:val="002D4016"/>
    <w:rsid w:val="003537F0"/>
    <w:rsid w:val="006919D5"/>
    <w:rsid w:val="00761367"/>
    <w:rsid w:val="007E6BC9"/>
    <w:rsid w:val="0083476E"/>
    <w:rsid w:val="00892852"/>
    <w:rsid w:val="008A094B"/>
    <w:rsid w:val="00974555"/>
    <w:rsid w:val="00B42F2F"/>
    <w:rsid w:val="00B61EAA"/>
    <w:rsid w:val="00B96CAC"/>
    <w:rsid w:val="00C07959"/>
    <w:rsid w:val="00E72507"/>
    <w:rsid w:val="00F61BAF"/>
    <w:rsid w:val="00F855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56FB9"/>
  <w15:chartTrackingRefBased/>
  <w15:docId w15:val="{FF22596F-E1F8-45D8-9B41-D6559033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B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285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8928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744546">
      <w:bodyDiv w:val="1"/>
      <w:marLeft w:val="0"/>
      <w:marRight w:val="0"/>
      <w:marTop w:val="0"/>
      <w:marBottom w:val="0"/>
      <w:divBdr>
        <w:top w:val="none" w:sz="0" w:space="0" w:color="auto"/>
        <w:left w:val="none" w:sz="0" w:space="0" w:color="auto"/>
        <w:bottom w:val="none" w:sz="0" w:space="0" w:color="auto"/>
        <w:right w:val="none" w:sz="0" w:space="0" w:color="auto"/>
      </w:divBdr>
    </w:div>
    <w:div w:id="59382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sijournal.com/index.php/psyjournal/article/view/770/474" TargetMode="External"/><Relationship Id="rId3" Type="http://schemas.openxmlformats.org/officeDocument/2006/relationships/settings" Target="settings.xml"/><Relationship Id="rId7" Type="http://schemas.openxmlformats.org/officeDocument/2006/relationships/hyperlink" Target="https://www.apsijournal.com/index.php/psyjournal/article/view/563/3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1108/1.2019.5.4.6" TargetMode="External"/><Relationship Id="rId11" Type="http://schemas.openxmlformats.org/officeDocument/2006/relationships/theme" Target="theme/theme1.xml"/><Relationship Id="rId5" Type="http://schemas.openxmlformats.org/officeDocument/2006/relationships/hyperlink" Target="http://elartu.tntu.edu.ua/handle/lib/348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1108/1.2019.5.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4868</Words>
  <Characters>2776</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2023-04-09T15:10:00Z</dcterms:created>
  <dcterms:modified xsi:type="dcterms:W3CDTF">2023-04-15T21:47:00Z</dcterms:modified>
</cp:coreProperties>
</file>