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6C0" w:rsidRDefault="008656F8">
      <w:pPr>
        <w:jc w:val="center"/>
        <w:rPr>
          <w:rFonts w:ascii="Times New Roman" w:hAnsi="Times New Roman" w:cs="Times New Roman"/>
          <w:b/>
          <w:iCs/>
          <w:sz w:val="28"/>
          <w:szCs w:val="28"/>
        </w:rPr>
      </w:pPr>
      <w:bookmarkStart w:id="0" w:name="_GoBack"/>
      <w:bookmarkEnd w:id="0"/>
      <w:r>
        <w:rPr>
          <w:rFonts w:ascii="Times New Roman" w:hAnsi="Times New Roman" w:cs="Times New Roman"/>
          <w:b/>
          <w:iCs/>
          <w:sz w:val="28"/>
          <w:szCs w:val="28"/>
        </w:rPr>
        <w:t>RĂSPUNDEREA MAGISTRAŢILOR ROMÂNI</w:t>
      </w:r>
    </w:p>
    <w:p w:rsidR="00B426C0" w:rsidRDefault="008656F8">
      <w:pPr>
        <w:jc w:val="center"/>
        <w:rPr>
          <w:rFonts w:ascii="Times New Roman" w:hAnsi="Times New Roman" w:cs="Times New Roman"/>
          <w:b/>
          <w:iCs/>
          <w:sz w:val="28"/>
          <w:szCs w:val="28"/>
        </w:rPr>
      </w:pPr>
      <w:r>
        <w:rPr>
          <w:rFonts w:ascii="Times New Roman" w:hAnsi="Times New Roman" w:cs="Times New Roman"/>
          <w:b/>
          <w:iCs/>
          <w:sz w:val="28"/>
          <w:szCs w:val="28"/>
        </w:rPr>
        <w:t>PREZENTARE GENERALĂ</w:t>
      </w:r>
    </w:p>
    <w:p w:rsidR="00B426C0" w:rsidRDefault="00B426C0">
      <w:pPr>
        <w:jc w:val="center"/>
        <w:rPr>
          <w:rFonts w:ascii="Times New Roman" w:hAnsi="Times New Roman" w:cs="Times New Roman"/>
          <w:i/>
          <w:sz w:val="28"/>
          <w:szCs w:val="28"/>
        </w:rPr>
      </w:pPr>
    </w:p>
    <w:p w:rsidR="00B426C0" w:rsidRDefault="008656F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V</w:t>
      </w:r>
      <w:r>
        <w:rPr>
          <w:rFonts w:ascii="Times New Roman" w:hAnsi="Times New Roman" w:cs="Times New Roman"/>
          <w:b/>
          <w:sz w:val="24"/>
          <w:szCs w:val="24"/>
        </w:rPr>
        <w:t xml:space="preserve">asile </w:t>
      </w:r>
      <w:r>
        <w:rPr>
          <w:rFonts w:ascii="Times New Roman" w:hAnsi="Times New Roman" w:cs="Times New Roman"/>
          <w:b/>
          <w:sz w:val="24"/>
          <w:szCs w:val="24"/>
        </w:rPr>
        <w:t>D</w:t>
      </w:r>
      <w:r>
        <w:rPr>
          <w:rFonts w:ascii="Times New Roman" w:hAnsi="Times New Roman" w:cs="Times New Roman"/>
          <w:b/>
          <w:sz w:val="24"/>
          <w:szCs w:val="24"/>
        </w:rPr>
        <w:t>răghici</w:t>
      </w:r>
    </w:p>
    <w:p w:rsidR="00B426C0" w:rsidRDefault="008656F8">
      <w:pPr>
        <w:spacing w:line="240" w:lineRule="auto"/>
        <w:jc w:val="center"/>
        <w:rPr>
          <w:rFonts w:ascii="Times New Roman" w:hAnsi="Times New Roman" w:cs="Times New Roman"/>
          <w:bCs/>
          <w:i/>
          <w:iCs/>
          <w:sz w:val="24"/>
          <w:szCs w:val="24"/>
        </w:rPr>
      </w:pPr>
      <w:r>
        <w:rPr>
          <w:rFonts w:ascii="Times New Roman" w:hAnsi="Times New Roman" w:cs="Times New Roman"/>
          <w:bCs/>
          <w:i/>
          <w:iCs/>
          <w:sz w:val="24"/>
          <w:szCs w:val="24"/>
        </w:rPr>
        <w:t>profesor universitar doctor a facultății de drept și științe administrative</w:t>
      </w:r>
    </w:p>
    <w:p w:rsidR="00B426C0" w:rsidRDefault="008656F8">
      <w:pPr>
        <w:spacing w:line="240" w:lineRule="auto"/>
        <w:jc w:val="center"/>
        <w:rPr>
          <w:rFonts w:ascii="Times New Roman" w:hAnsi="Times New Roman" w:cs="Times New Roman"/>
          <w:b/>
          <w:sz w:val="24"/>
          <w:szCs w:val="24"/>
        </w:rPr>
      </w:pPr>
      <w:r>
        <w:rPr>
          <w:rFonts w:ascii="Times New Roman" w:hAnsi="Times New Roman" w:cs="Times New Roman"/>
          <w:bCs/>
          <w:i/>
          <w:iCs/>
          <w:sz w:val="24"/>
          <w:szCs w:val="24"/>
        </w:rPr>
        <w:t xml:space="preserve">Universitatea </w:t>
      </w:r>
      <w:r>
        <w:rPr>
          <w:rFonts w:ascii="Times New Roman" w:hAnsi="Times New Roman" w:cs="Times New Roman"/>
          <w:bCs/>
          <w:i/>
          <w:iCs/>
          <w:sz w:val="24"/>
          <w:szCs w:val="24"/>
        </w:rPr>
        <w:t>„O</w:t>
      </w:r>
      <w:r>
        <w:rPr>
          <w:rFonts w:ascii="Times New Roman" w:hAnsi="Times New Roman" w:cs="Times New Roman"/>
          <w:bCs/>
          <w:i/>
          <w:iCs/>
          <w:sz w:val="24"/>
          <w:szCs w:val="24"/>
        </w:rPr>
        <w:t>vidius</w:t>
      </w:r>
      <w:r>
        <w:rPr>
          <w:rFonts w:ascii="Times New Roman" w:hAnsi="Times New Roman" w:cs="Times New Roman"/>
          <w:bCs/>
          <w:i/>
          <w:iCs/>
          <w:sz w:val="24"/>
          <w:szCs w:val="24"/>
        </w:rPr>
        <w:t>”</w:t>
      </w:r>
      <w:r>
        <w:rPr>
          <w:rFonts w:ascii="Times New Roman" w:hAnsi="Times New Roman" w:cs="Times New Roman"/>
          <w:bCs/>
          <w:i/>
          <w:iCs/>
          <w:sz w:val="24"/>
          <w:szCs w:val="24"/>
        </w:rPr>
        <w:t xml:space="preserve"> din Constanța</w:t>
      </w:r>
    </w:p>
    <w:p w:rsidR="00B426C0" w:rsidRDefault="00B426C0">
      <w:pPr>
        <w:spacing w:line="240" w:lineRule="auto"/>
        <w:jc w:val="right"/>
        <w:rPr>
          <w:rFonts w:ascii="Times New Roman" w:hAnsi="Times New Roman" w:cs="Times New Roman"/>
          <w:b/>
          <w:sz w:val="24"/>
          <w:szCs w:val="24"/>
        </w:rPr>
      </w:pPr>
    </w:p>
    <w:p w:rsidR="00B426C0" w:rsidRDefault="008656F8">
      <w:pPr>
        <w:spacing w:line="240" w:lineRule="auto"/>
        <w:jc w:val="center"/>
        <w:rPr>
          <w:rFonts w:ascii="Times New Roman" w:hAnsi="Times New Roman" w:cs="Times New Roman"/>
          <w:b/>
          <w:sz w:val="24"/>
          <w:szCs w:val="24"/>
        </w:rPr>
      </w:pPr>
      <w:r>
        <w:rPr>
          <w:rFonts w:ascii="Times New Roman" w:hAnsi="Times New Roman" w:cs="Times New Roman"/>
          <w:b/>
          <w:sz w:val="24"/>
          <w:szCs w:val="24"/>
        </w:rPr>
        <w:t>Ivan Toronciuk</w:t>
      </w:r>
    </w:p>
    <w:p w:rsidR="00B426C0" w:rsidRDefault="008656F8">
      <w:pPr>
        <w:spacing w:line="240" w:lineRule="auto"/>
        <w:jc w:val="center"/>
        <w:rPr>
          <w:rFonts w:ascii="Times New Roman" w:hAnsi="Times New Roman" w:cs="Times New Roman"/>
          <w:bCs/>
          <w:i/>
          <w:iCs/>
          <w:sz w:val="24"/>
          <w:szCs w:val="24"/>
        </w:rPr>
      </w:pPr>
      <w:r>
        <w:rPr>
          <w:rFonts w:ascii="Times New Roman" w:hAnsi="Times New Roman" w:cs="Times New Roman"/>
          <w:bCs/>
          <w:i/>
          <w:iCs/>
          <w:sz w:val="24"/>
          <w:szCs w:val="24"/>
          <w:lang w:val="en-US"/>
        </w:rPr>
        <w:t xml:space="preserve">PhD, </w:t>
      </w:r>
      <w:r>
        <w:rPr>
          <w:rFonts w:ascii="Times New Roman" w:hAnsi="Times New Roman" w:cs="Times New Roman"/>
          <w:bCs/>
          <w:i/>
          <w:iCs/>
          <w:sz w:val="24"/>
          <w:szCs w:val="24"/>
        </w:rPr>
        <w:t>conferențiar universitar doctor</w:t>
      </w:r>
      <w:r>
        <w:rPr>
          <w:rFonts w:ascii="Times New Roman" w:hAnsi="Times New Roman" w:cs="Times New Roman"/>
          <w:bCs/>
          <w:i/>
          <w:iCs/>
          <w:sz w:val="24"/>
          <w:szCs w:val="24"/>
          <w:lang w:val="uk-UA"/>
        </w:rPr>
        <w:t xml:space="preserve"> </w:t>
      </w:r>
      <w:r>
        <w:rPr>
          <w:rFonts w:ascii="Times New Roman" w:hAnsi="Times New Roman" w:cs="Times New Roman"/>
          <w:bCs/>
          <w:i/>
          <w:iCs/>
          <w:sz w:val="24"/>
          <w:szCs w:val="24"/>
        </w:rPr>
        <w:t xml:space="preserve">la facultatea de </w:t>
      </w:r>
      <w:r>
        <w:rPr>
          <w:rFonts w:ascii="Times New Roman" w:hAnsi="Times New Roman" w:cs="Times New Roman"/>
          <w:bCs/>
          <w:i/>
          <w:iCs/>
          <w:sz w:val="24"/>
          <w:szCs w:val="24"/>
        </w:rPr>
        <w:t>drept</w:t>
      </w:r>
    </w:p>
    <w:p w:rsidR="00B426C0" w:rsidRDefault="008656F8">
      <w:pPr>
        <w:spacing w:line="240" w:lineRule="auto"/>
        <w:jc w:val="center"/>
        <w:rPr>
          <w:rFonts w:ascii="Times New Roman" w:hAnsi="Times New Roman" w:cs="Times New Roman"/>
          <w:bCs/>
          <w:i/>
          <w:iCs/>
          <w:sz w:val="24"/>
          <w:szCs w:val="24"/>
        </w:rPr>
      </w:pPr>
      <w:r>
        <w:rPr>
          <w:rFonts w:ascii="Times New Roman" w:hAnsi="Times New Roman" w:cs="Times New Roman"/>
          <w:bCs/>
          <w:i/>
          <w:iCs/>
          <w:sz w:val="24"/>
          <w:szCs w:val="24"/>
        </w:rPr>
        <w:t>Universitatea națională din Cernăuți în numele lui Iurii Fedkovici</w:t>
      </w:r>
    </w:p>
    <w:p w:rsidR="00B426C0" w:rsidRDefault="00B426C0">
      <w:pPr>
        <w:jc w:val="center"/>
        <w:rPr>
          <w:rFonts w:ascii="Times New Roman" w:hAnsi="Times New Roman" w:cs="Times New Roman"/>
          <w:b/>
          <w:sz w:val="28"/>
          <w:szCs w:val="28"/>
        </w:rPr>
      </w:pPr>
    </w:p>
    <w:p w:rsidR="00B426C0" w:rsidRDefault="008656F8">
      <w:pPr>
        <w:pStyle w:val="af0"/>
        <w:numPr>
          <w:ilvl w:val="0"/>
          <w:numId w:val="1"/>
        </w:numPr>
        <w:spacing w:after="0"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t>Considerații generale:</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Potrivit Constituţiei României în Titlul III, Capitolul VI, autoritatea judecătorească este compusă din instanţe judecătoreşti și parchete</w:t>
      </w:r>
      <w:r>
        <w:rPr>
          <w:rStyle w:val="ad"/>
          <w:rFonts w:ascii="Times New Roman" w:hAnsi="Times New Roman" w:cs="Times New Roman"/>
          <w:sz w:val="28"/>
          <w:szCs w:val="28"/>
        </w:rPr>
        <w:footnoteReference w:id="1"/>
      </w:r>
      <w:r>
        <w:rPr>
          <w:rFonts w:ascii="Times New Roman" w:hAnsi="Times New Roman" w:cs="Times New Roman"/>
          <w:sz w:val="28"/>
          <w:szCs w:val="28"/>
        </w:rPr>
        <w:t>.</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Astfel, </w:t>
      </w:r>
      <w:r>
        <w:rPr>
          <w:rFonts w:ascii="Times New Roman" w:hAnsi="Times New Roman" w:cs="Times New Roman"/>
          <w:sz w:val="28"/>
          <w:szCs w:val="28"/>
        </w:rPr>
        <w:t>judecătorii, constituiţi în instanţe, sunt independenţi, se supun numai legii și sunt inamovibili.</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În același timp, Ministerul Public îşi exercită atribuţiile prin procurori constituiţi în  parchete, care funcţionează pe lângă instanţele de judecată.</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Funcț</w:t>
      </w:r>
      <w:r>
        <w:rPr>
          <w:rFonts w:ascii="Times New Roman" w:hAnsi="Times New Roman" w:cs="Times New Roman"/>
          <w:sz w:val="28"/>
          <w:szCs w:val="28"/>
        </w:rPr>
        <w:t xml:space="preserve">iile de judecători și procurori sunt incompatibile cu orice altă funcţie publică sau privată, cu excepţia funcţiilor didactice din învăţământul superior. </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Garantul independenţei justiţiei este Consiliul Superior al Magistraturii, alcătuit din judecători și</w:t>
      </w:r>
      <w:r>
        <w:rPr>
          <w:rFonts w:ascii="Times New Roman" w:hAnsi="Times New Roman" w:cs="Times New Roman"/>
          <w:sz w:val="28"/>
          <w:szCs w:val="28"/>
        </w:rPr>
        <w:t xml:space="preserve"> procurori, care funcţionează în două secţii distincte și doi reprezentanţi ai societății civile, specialişti în domeniul dreptului. Ministrul Justiției, Procurorul General al Parchetului de pe lângă Înalta Curte de Casaţie și Justiţie din România și Preşe</w:t>
      </w:r>
      <w:r>
        <w:rPr>
          <w:rFonts w:ascii="Times New Roman" w:hAnsi="Times New Roman" w:cs="Times New Roman"/>
          <w:sz w:val="28"/>
          <w:szCs w:val="28"/>
        </w:rPr>
        <w:t>dintele Înaltei Curţi de Casaţie şi Justiţie sunt membrii de drept al Consiliului Superior al Magistraturii.</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Aşadar, potrivit art. 1 din Legea nr. 303/2004 privind statutul judecătorilor și procurorilor, magistratura este activitatea judiciară desfăşurată </w:t>
      </w:r>
      <w:r>
        <w:rPr>
          <w:rFonts w:ascii="Times New Roman" w:hAnsi="Times New Roman" w:cs="Times New Roman"/>
          <w:sz w:val="28"/>
          <w:szCs w:val="28"/>
        </w:rPr>
        <w:t>de judecători în scopul înfăptuirii justiţiei și de procurori, în scopul apărării intereselor generale ale societății, a ordinii de drept, precum și a drepturilor și libertăţilor cetăţenilor</w:t>
      </w:r>
      <w:r>
        <w:rPr>
          <w:rStyle w:val="ad"/>
          <w:rFonts w:ascii="Times New Roman" w:hAnsi="Times New Roman" w:cs="Times New Roman"/>
          <w:sz w:val="28"/>
          <w:szCs w:val="28"/>
        </w:rPr>
        <w:footnoteReference w:id="2"/>
      </w:r>
      <w:r>
        <w:rPr>
          <w:rFonts w:ascii="Times New Roman" w:hAnsi="Times New Roman" w:cs="Times New Roman"/>
          <w:sz w:val="28"/>
          <w:szCs w:val="28"/>
        </w:rPr>
        <w:t>.</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Judecătorii sunt independenţi, se supun numai legii, trebuie să</w:t>
      </w:r>
      <w:r>
        <w:rPr>
          <w:rFonts w:ascii="Times New Roman" w:hAnsi="Times New Roman" w:cs="Times New Roman"/>
          <w:sz w:val="28"/>
          <w:szCs w:val="28"/>
        </w:rPr>
        <w:t xml:space="preserve"> fie imparţiali și au deplină libertate în soluţionarea cauzelor deduse judecății, scopul independenţei acestora garantând fiecărei persoane dreptul fundamental de a fi examinat cazul său în mod echitabil, având la bază doar aplicarea legii.</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Procurorii îşi</w:t>
      </w:r>
      <w:r>
        <w:rPr>
          <w:rFonts w:ascii="Times New Roman" w:hAnsi="Times New Roman" w:cs="Times New Roman"/>
          <w:sz w:val="28"/>
          <w:szCs w:val="28"/>
        </w:rPr>
        <w:t xml:space="preserve"> desfăşoară activitatea potrivit principiilor legalităţii, imparţialităţii și al controlului ierarhic, fiind independenţi în dispunerea soluţiilor și bucurându-se de stabilitate (pot fi mutaţi prin transfer, detaşare sau promovare numai cu acordul lor).</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As</w:t>
      </w:r>
      <w:r>
        <w:rPr>
          <w:rFonts w:ascii="Times New Roman" w:hAnsi="Times New Roman" w:cs="Times New Roman"/>
          <w:sz w:val="28"/>
          <w:szCs w:val="28"/>
        </w:rPr>
        <w:t>tfel, judecătorii și procurorii sunt obligaţi ca, prin întreaga lor activitate, să asigure supremaţia legii, să respecte drepturile și libertăţile persoanelor, egalitatea lor în fața legii, să asigure un tratament juridic nediscriminatoriu tuturor particip</w:t>
      </w:r>
      <w:r>
        <w:rPr>
          <w:rFonts w:ascii="Times New Roman" w:hAnsi="Times New Roman" w:cs="Times New Roman"/>
          <w:sz w:val="28"/>
          <w:szCs w:val="28"/>
        </w:rPr>
        <w:t>anţilor la procedurile judiciare, să respecte Codul deontologic, să participe la formarea profesională continuă.</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De asemenea, sunt obligaţi să se abţină de la orice activitate care presupune existența unui conflict între interesele lor și interesul public </w:t>
      </w:r>
      <w:r>
        <w:rPr>
          <w:rFonts w:ascii="Times New Roman" w:hAnsi="Times New Roman" w:cs="Times New Roman"/>
          <w:sz w:val="28"/>
          <w:szCs w:val="28"/>
        </w:rPr>
        <w:t>de înfăptuire a justiţiei sau de apărare a intereselor generale ale societății.</w:t>
      </w:r>
    </w:p>
    <w:p w:rsidR="00B426C0" w:rsidRDefault="00B426C0">
      <w:pPr>
        <w:pStyle w:val="af0"/>
        <w:spacing w:after="0" w:line="360" w:lineRule="auto"/>
        <w:ind w:left="0" w:firstLine="709"/>
        <w:jc w:val="both"/>
        <w:rPr>
          <w:rFonts w:ascii="Times New Roman" w:hAnsi="Times New Roman" w:cs="Times New Roman"/>
          <w:sz w:val="28"/>
          <w:szCs w:val="28"/>
        </w:rPr>
      </w:pPr>
    </w:p>
    <w:p w:rsidR="00B426C0" w:rsidRDefault="008656F8">
      <w:pPr>
        <w:pStyle w:val="af0"/>
        <w:spacing w:after="0" w:line="360" w:lineRule="auto"/>
        <w:ind w:left="0" w:firstLine="709"/>
        <w:jc w:val="both"/>
        <w:rPr>
          <w:rFonts w:ascii="Times New Roman" w:hAnsi="Times New Roman" w:cs="Times New Roman"/>
          <w:b/>
          <w:sz w:val="28"/>
          <w:szCs w:val="28"/>
          <w:u w:val="single"/>
        </w:rPr>
      </w:pPr>
      <w:r>
        <w:rPr>
          <w:rFonts w:ascii="Times New Roman" w:hAnsi="Times New Roman" w:cs="Times New Roman"/>
          <w:b/>
          <w:sz w:val="28"/>
          <w:szCs w:val="28"/>
        </w:rPr>
        <w:t xml:space="preserve">2. </w:t>
      </w:r>
      <w:r>
        <w:rPr>
          <w:rFonts w:ascii="Times New Roman" w:hAnsi="Times New Roman" w:cs="Times New Roman"/>
          <w:b/>
          <w:sz w:val="28"/>
          <w:szCs w:val="28"/>
          <w:u w:val="single"/>
        </w:rPr>
        <w:t>Scurtă prezentare a formelor de răspundere a magistraţilor români:</w:t>
      </w:r>
    </w:p>
    <w:p w:rsidR="00B426C0" w:rsidRDefault="00B426C0">
      <w:pPr>
        <w:pStyle w:val="af0"/>
        <w:spacing w:after="0" w:line="360" w:lineRule="auto"/>
        <w:ind w:left="0" w:firstLine="709"/>
        <w:jc w:val="both"/>
        <w:rPr>
          <w:rFonts w:ascii="Times New Roman" w:hAnsi="Times New Roman" w:cs="Times New Roman"/>
          <w:sz w:val="28"/>
          <w:szCs w:val="28"/>
        </w:rPr>
      </w:pP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În Titlul IV din legea arătată mai sus se arată în ce constă răspunderea judecătorilor și procurorilor.</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Astfel, judecătorii și procurorii răspund civil, disciplinar și penal în condițiile legii. Aceștia pot fi percheziţionaţi, reţinuţi sau arestaţi numai cu încuviinţarea Secţiei pentru judecători sau a Secţiei pentru procurori ale Consiliului Superior al Mag</w:t>
      </w:r>
      <w:r>
        <w:rPr>
          <w:rFonts w:ascii="Times New Roman" w:hAnsi="Times New Roman" w:cs="Times New Roman"/>
          <w:sz w:val="28"/>
          <w:szCs w:val="28"/>
        </w:rPr>
        <w:t>istraturii.</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Pentru prejudiciile cauzate de către judecători și procurori, prin erorile judiciare, statul răspunde patrimonial, dar nu se înlătură răspunderea judecătorilor și procurorilor dacă aceștia și-au exercitat funcția cu rea-credinţă sau gravă negli</w:t>
      </w:r>
      <w:r>
        <w:rPr>
          <w:rFonts w:ascii="Times New Roman" w:hAnsi="Times New Roman" w:cs="Times New Roman"/>
          <w:sz w:val="28"/>
          <w:szCs w:val="28"/>
        </w:rPr>
        <w:t>jenţă.</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Există eroare judiciară în mai multe situaţii, care sunt enumerate în art. 96 din legea menţionată anterior, cum ar fi, spre exemplu, pronunţarea unei hotărâri judecătoreşti definitive în mod evident contrară legii sau situaţiei de fapt.</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Persoană vă</w:t>
      </w:r>
      <w:r>
        <w:rPr>
          <w:rFonts w:ascii="Times New Roman" w:hAnsi="Times New Roman" w:cs="Times New Roman"/>
          <w:sz w:val="28"/>
          <w:szCs w:val="28"/>
        </w:rPr>
        <w:t>tămată printr-o eroare judiciară se îndreaptă împotriva statului, reprezentat de Ministerul Finanţelor Publice din România, competenţa soluţionării acţiunii revenind tribunalului în circumscripţia unde domiciliază reclamantul.</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În termen de două luni de la </w:t>
      </w:r>
      <w:r>
        <w:rPr>
          <w:rFonts w:ascii="Times New Roman" w:hAnsi="Times New Roman" w:cs="Times New Roman"/>
          <w:sz w:val="28"/>
          <w:szCs w:val="28"/>
        </w:rPr>
        <w:t>comunicarea hotărârii definitive, pronunţate în acţiunea persoanei vătămate, Ministerul Finanţelor Publice din România va sesiza Inspecţia Judiciară pentru a verifica dacă eroarea a fost cauzată de judecători sau procurori, ca urmare a exercitării funcţiei</w:t>
      </w:r>
      <w:r>
        <w:rPr>
          <w:rFonts w:ascii="Times New Roman" w:hAnsi="Times New Roman" w:cs="Times New Roman"/>
          <w:sz w:val="28"/>
          <w:szCs w:val="28"/>
        </w:rPr>
        <w:t xml:space="preserve"> cu rea-credinţă sau gravă neglijenţă, iar dacă această sesizare se confirmă, statul va putea exercita acţiune în regres împotriva judecătorului sau procurorului la Secţia civilă a Curții de Apel unde domiciliază magistratul.</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Pe de altă parte, există și ră</w:t>
      </w:r>
      <w:r>
        <w:rPr>
          <w:rFonts w:ascii="Times New Roman" w:hAnsi="Times New Roman" w:cs="Times New Roman"/>
          <w:sz w:val="28"/>
          <w:szCs w:val="28"/>
        </w:rPr>
        <w:t>spundere disciplinară a judecătorilor și procurorilor, aceștia răspunzând pentru abaterile de la îndatoririle de serviciu, precum și pentru faptele care afectează prestigiul justiţiei. În acest sens, în art. 99 din Legea nr. 303/2004 sunt enumerate 21 de a</w:t>
      </w:r>
      <w:r>
        <w:rPr>
          <w:rFonts w:ascii="Times New Roman" w:hAnsi="Times New Roman" w:cs="Times New Roman"/>
          <w:sz w:val="28"/>
          <w:szCs w:val="28"/>
        </w:rPr>
        <w:t xml:space="preserve">bateri disciplinare, cum ar fi, spre exemplu: desfășurarea de activități publice cu caracter politic; refuzul nejustificat de a îndeplini o îndatorire de serviciu; imixtiunea în activitatea altui judecător sau procuror exercitarea funcţiei cu rea-credinţă </w:t>
      </w:r>
      <w:r>
        <w:rPr>
          <w:rFonts w:ascii="Times New Roman" w:hAnsi="Times New Roman" w:cs="Times New Roman"/>
          <w:sz w:val="28"/>
          <w:szCs w:val="28"/>
        </w:rPr>
        <w:t xml:space="preserve">sau gravă neglijenţă; încălcarea prevederilor legale referitoare la incompatibilităţi și restricţii etc. </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Întrucât în ţara noastră au existat și există numeroase discuţii cu privire la interpretarea conceptelor de rea-credinţă sau gravă neglijenţă, prin ar</w:t>
      </w:r>
      <w:r>
        <w:rPr>
          <w:rFonts w:ascii="Times New Roman" w:hAnsi="Times New Roman" w:cs="Times New Roman"/>
          <w:sz w:val="28"/>
          <w:szCs w:val="28"/>
        </w:rPr>
        <w:t>t. 99</w:t>
      </w:r>
      <w:r>
        <w:rPr>
          <w:rFonts w:ascii="Times New Roman" w:hAnsi="Times New Roman" w:cs="Times New Roman"/>
          <w:sz w:val="28"/>
          <w:szCs w:val="28"/>
          <w:vertAlign w:val="superscript"/>
        </w:rPr>
        <w:t>1</w:t>
      </w:r>
      <w:r>
        <w:rPr>
          <w:rFonts w:ascii="Times New Roman" w:hAnsi="Times New Roman" w:cs="Times New Roman"/>
          <w:sz w:val="28"/>
          <w:szCs w:val="28"/>
        </w:rPr>
        <w:t xml:space="preserve"> din Legea 303/2004 s-a stabilit că, există rea-credinţă atunci când judecătorul sau procurorul încalcă, cu ştiinţă, normele de drept material ori procesual, urmărind sau acceptând vătămarea unei </w:t>
      </w:r>
      <w:r>
        <w:rPr>
          <w:rFonts w:ascii="Times New Roman" w:hAnsi="Times New Roman" w:cs="Times New Roman"/>
          <w:sz w:val="28"/>
          <w:szCs w:val="28"/>
        </w:rPr>
        <w:lastRenderedPageBreak/>
        <w:t>persoane, iar gravă neglijenţă este atunci când judecă</w:t>
      </w:r>
      <w:r>
        <w:rPr>
          <w:rFonts w:ascii="Times New Roman" w:hAnsi="Times New Roman" w:cs="Times New Roman"/>
          <w:sz w:val="28"/>
          <w:szCs w:val="28"/>
        </w:rPr>
        <w:t>torul sau procurorul nesocoteşte, din culpă, în mod grav, neîndoielnic și nescuzabil normele de drept material ori procesual.</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Consiliul Superior al Magistraturii poate aplica judecătorilor și procurorilor sancţiuni disciplinare, constând în: avertisment; d</w:t>
      </w:r>
      <w:r>
        <w:rPr>
          <w:rFonts w:ascii="Times New Roman" w:hAnsi="Times New Roman" w:cs="Times New Roman"/>
          <w:sz w:val="28"/>
          <w:szCs w:val="28"/>
        </w:rPr>
        <w:t>iminuarea indemnizaţiei de încadrare lunare brute cu până la 25%, pe o perioadă de până la 1 an; mutarea disciplinară pentru o perioadă efectivă de la 1 an la 3 ani la o altă instanţă sau la un alt parchet, chiar de grad imediat inferior; suspendarea din f</w:t>
      </w:r>
      <w:r>
        <w:rPr>
          <w:rFonts w:ascii="Times New Roman" w:hAnsi="Times New Roman" w:cs="Times New Roman"/>
          <w:sz w:val="28"/>
          <w:szCs w:val="28"/>
        </w:rPr>
        <w:t>uncţie pe o perioadă de până la 6 luni; retrogradarea în grad profesional și excluderea din magistratură.</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Se observă, aşadar, că judecătorii și procurorii români pot răspunde, în condiţiile legii, ca orice cetăţean, dar răspunderea materială, disciplinară </w:t>
      </w:r>
      <w:r>
        <w:rPr>
          <w:rFonts w:ascii="Times New Roman" w:hAnsi="Times New Roman" w:cs="Times New Roman"/>
          <w:sz w:val="28"/>
          <w:szCs w:val="28"/>
        </w:rPr>
        <w:t>sunt specifice acestor profesii, potrivit particularităţilor normelor ce compun legea de organizare a activităţii de justiţie.</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Pe de altă parte, legea nu exclude magistraţii pentru a răspunde contravenţional, astfel că, dacă procurorii sau judecătorii comi</w:t>
      </w:r>
      <w:r>
        <w:rPr>
          <w:rFonts w:ascii="Times New Roman" w:hAnsi="Times New Roman" w:cs="Times New Roman"/>
          <w:sz w:val="28"/>
          <w:szCs w:val="28"/>
        </w:rPr>
        <w:t>t diverse contravenţii, aceștia răspund potrivit legii, fără a exista vreun privilegiu.</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În același timp judecătorii și procurorii răspund civil, în sensul că pot fi acţionaţi în judecată civilă pentru fapte care nu au legătură cu profesia lor, cum ar fi, d</w:t>
      </w:r>
      <w:r>
        <w:rPr>
          <w:rFonts w:ascii="Times New Roman" w:hAnsi="Times New Roman" w:cs="Times New Roman"/>
          <w:sz w:val="28"/>
          <w:szCs w:val="28"/>
        </w:rPr>
        <w:t>e exemplu, încălcarea unei obligaţii contractuale prevăzute într-un contract de vânzare-cumpărare.</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În practică au existat și există situaţii când magistraţii au răspuns pentru diverse fapte și, cu titlu de exemplu, amintim doar câteva din domeniul </w:t>
      </w:r>
      <w:r>
        <w:rPr>
          <w:rFonts w:ascii="Times New Roman" w:hAnsi="Times New Roman" w:cs="Times New Roman"/>
          <w:sz w:val="28"/>
          <w:szCs w:val="28"/>
        </w:rPr>
        <w:t>abaterilor disciplinare.</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Astfel, prin Decizia nr. 62 din 18 mai 2020 a Înaltei Curţi de Casaţie și Justiţie, Completul de 5 judecători, s-a reţinut că este abatere disciplinară fapta unui judecător care a publicat în spaţiul virtual o postare, în cuprinsul</w:t>
      </w:r>
      <w:r>
        <w:rPr>
          <w:rFonts w:ascii="Times New Roman" w:hAnsi="Times New Roman" w:cs="Times New Roman"/>
          <w:sz w:val="28"/>
          <w:szCs w:val="28"/>
        </w:rPr>
        <w:t xml:space="preserve"> căreia s-a exprimat în mod neprincipial, inadecvat statului de drept, punând la îndoială credibilitatea unor instituţii ale statului, folosind un limbaj ce depăşeşte limitele decenţei și limitele impuse de statul funcţiei, fapte ce contravin obligaţiei de</w:t>
      </w:r>
      <w:r>
        <w:rPr>
          <w:rFonts w:ascii="Times New Roman" w:hAnsi="Times New Roman" w:cs="Times New Roman"/>
          <w:sz w:val="28"/>
          <w:szCs w:val="28"/>
        </w:rPr>
        <w:t xml:space="preserve"> rezervă impuse magistraţilor în exercitarea libertăţii de exprimare în considerarea statutului lor.</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Instanța a motivat că, ceea ce i se reproşează judecătorului este exprimarea opiniilor personale într-o manieră de natură să încalce statutul funcţiei de m</w:t>
      </w:r>
      <w:r>
        <w:rPr>
          <w:rFonts w:ascii="Times New Roman" w:hAnsi="Times New Roman" w:cs="Times New Roman"/>
          <w:sz w:val="28"/>
          <w:szCs w:val="28"/>
        </w:rPr>
        <w:t>agistrat, aşa cum s-a reţinut și în jurisprudenţa CEDO (cauza Morissens contra Belgiei). Pentru această abatere judecătorului i-a fost aplicată sancţiunea disciplinară, constând diminuarea  indemnizaţiei de încadrare brute cu 5% pe o perioadă de două luni.</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Într-o altă speţă, prin Decizia nr. 30/03.02.2020 a Înaltei Curţi de Casaţie și Justiţie, Completul de 5 judecători s-a reţinut că, atitudinea contrară standardelor de conduită impuse magistraţilor în relaţiile profesionale constituie abatere disciplinară</w:t>
      </w:r>
      <w:r>
        <w:rPr>
          <w:rFonts w:ascii="Times New Roman" w:hAnsi="Times New Roman" w:cs="Times New Roman"/>
          <w:sz w:val="28"/>
          <w:szCs w:val="28"/>
        </w:rPr>
        <w:t>. Astfel, un procuror a efectuat menţiuni olografe pe actele ce i-au fost repartizate spre soluționare, adresate prim procurorului, folosind un limbaj contrar exigenţelor de respect ce trebuie să guverneze relaţiile dintre magistraţi și colegii lor și o at</w:t>
      </w:r>
      <w:r>
        <w:rPr>
          <w:rFonts w:ascii="Times New Roman" w:hAnsi="Times New Roman" w:cs="Times New Roman"/>
          <w:sz w:val="28"/>
          <w:szCs w:val="28"/>
        </w:rPr>
        <w:t>itudine de contestare a autorităţii ierarhice; a refuzat primirea programării serviciului de permanenţă pe unitate, folosind un limbaj licenţios și expresii ofensatoare la adresa superiorului, toate aceste fapte fiind calificate de instanţă ca abatere disc</w:t>
      </w:r>
      <w:r>
        <w:rPr>
          <w:rFonts w:ascii="Times New Roman" w:hAnsi="Times New Roman" w:cs="Times New Roman"/>
          <w:sz w:val="28"/>
          <w:szCs w:val="28"/>
        </w:rPr>
        <w:t>iplinară și fiind sancționate cu avertisment.</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În același timp, prin Decizia nr. 214/16.11.2020 a Înaltei Curţi de Casaţie și Justiţie, Completul de 5 judecători, s-a apreciat că absenţa unui judecător nemotivat de la serviciu într-un număr de 33 de situaţi</w:t>
      </w:r>
      <w:r>
        <w:rPr>
          <w:rFonts w:ascii="Times New Roman" w:hAnsi="Times New Roman" w:cs="Times New Roman"/>
          <w:sz w:val="28"/>
          <w:szCs w:val="28"/>
        </w:rPr>
        <w:t xml:space="preserve">i, pe o perioadă de 4 luni, constituie abatere disciplinară, acesta fiind sancţionat cu diminuarea indemnizaţiei de încadrare lunare brute cu 20%, pe o perioadă de 3 luni. </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Într-o altă situație, prin Decizia nr. 68/25.05.2020 a Înaltei Curţi de Casaţie și </w:t>
      </w:r>
      <w:r>
        <w:rPr>
          <w:rFonts w:ascii="Times New Roman" w:hAnsi="Times New Roman" w:cs="Times New Roman"/>
          <w:sz w:val="28"/>
          <w:szCs w:val="28"/>
        </w:rPr>
        <w:t>Justiţie, Completul de 5 judecători,  s-a apreciat că fapta judecătorului care a respins, ca tardiv introdusă, o plângere împotriva unei ordonanţe, prin care s-a dispus o măsură preventivă, plângere depusă în termen, prin intermediul poştei electronice, ca</w:t>
      </w:r>
      <w:r>
        <w:rPr>
          <w:rFonts w:ascii="Times New Roman" w:hAnsi="Times New Roman" w:cs="Times New Roman"/>
          <w:sz w:val="28"/>
          <w:szCs w:val="28"/>
        </w:rPr>
        <w:t xml:space="preserve">re a primit însă dată certă, după expirarea termenului legal, nu constituie abaterea disciplinară, constând în exercitarea atribuţiilor cu gravă neglijenţă. Astfel, instanţa a arătat că, interpretarea dată de judecător dispozițiilor legale din speţa avută </w:t>
      </w:r>
      <w:r>
        <w:rPr>
          <w:rFonts w:ascii="Times New Roman" w:hAnsi="Times New Roman" w:cs="Times New Roman"/>
          <w:sz w:val="28"/>
          <w:szCs w:val="28"/>
        </w:rPr>
        <w:t xml:space="preserve">spre soluționare, împreună cu soluţia pronunţată de judecător, este rezultatul unui raţinament juridic </w:t>
      </w:r>
      <w:r>
        <w:rPr>
          <w:rFonts w:ascii="Times New Roman" w:hAnsi="Times New Roman" w:cs="Times New Roman"/>
          <w:sz w:val="28"/>
          <w:szCs w:val="28"/>
        </w:rPr>
        <w:lastRenderedPageBreak/>
        <w:t>motivat, iar circumstanțele soluţionării dosarului nu evidenţiază o instrumentare cu gravă neglijenţă.</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De altfel, printr-o altă decizie, nr. 173/05.10.20</w:t>
      </w:r>
      <w:r>
        <w:rPr>
          <w:rFonts w:ascii="Times New Roman" w:hAnsi="Times New Roman" w:cs="Times New Roman"/>
          <w:sz w:val="28"/>
          <w:szCs w:val="28"/>
        </w:rPr>
        <w:t xml:space="preserve">20, Înalta Curte de Casaţie și Justiţie, Completul de 5 judecători, a reţinut că neglijenţa gravă trebuie să fie atunci când modalitatea defectuoasă de exercitare a funcţiei are un caracter evident, neîndoielnic, fără justificare și în totală contradicţie </w:t>
      </w:r>
      <w:r>
        <w:rPr>
          <w:rFonts w:ascii="Times New Roman" w:hAnsi="Times New Roman" w:cs="Times New Roman"/>
          <w:sz w:val="28"/>
          <w:szCs w:val="28"/>
        </w:rPr>
        <w:t>cu textele procedurale.</w:t>
      </w:r>
    </w:p>
    <w:p w:rsidR="00B426C0" w:rsidRDefault="008656F8">
      <w:pPr>
        <w:pStyle w:val="af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Se poate concluziona, potrivit opiniilor exprimate și de alţi autori români, că magistraţii din România răspund pe deplin și nu beneficiază de niciun fel de imunitate.</w:t>
      </w:r>
    </w:p>
    <w:p w:rsidR="00B426C0" w:rsidRDefault="00B426C0">
      <w:pPr>
        <w:pStyle w:val="af0"/>
        <w:spacing w:after="0" w:line="360" w:lineRule="auto"/>
        <w:ind w:left="0" w:firstLine="709"/>
        <w:jc w:val="both"/>
        <w:rPr>
          <w:rFonts w:ascii="Times New Roman" w:hAnsi="Times New Roman" w:cs="Times New Roman"/>
          <w:sz w:val="28"/>
          <w:szCs w:val="28"/>
        </w:rPr>
      </w:pPr>
    </w:p>
    <w:sectPr w:rsidR="00B426C0">
      <w:footnotePr>
        <w:numRestart w:val="eachPage"/>
      </w:footnotePr>
      <w:type w:val="continuous"/>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56F8" w:rsidRDefault="008656F8">
      <w:pPr>
        <w:spacing w:after="0" w:line="240" w:lineRule="auto"/>
      </w:pPr>
      <w:r>
        <w:separator/>
      </w:r>
    </w:p>
  </w:endnote>
  <w:endnote w:type="continuationSeparator" w:id="0">
    <w:p w:rsidR="008656F8" w:rsidRDefault="00865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702040204020203"/>
    <w:charset w:val="CC"/>
    <w:family w:val="swiss"/>
    <w:pitch w:val="variable"/>
    <w:sig w:usb0="E4002EFF" w:usb1="C000E47F" w:usb2="00000009" w:usb3="00000000" w:csb0="000001FF" w:csb1="00000000"/>
  </w:font>
  <w:font w:name="等线 Light">
    <w:panose1 w:val="00000000000000000000"/>
    <w:charset w:val="80"/>
    <w:family w:val="roman"/>
    <w:notTrueType/>
    <w:pitch w:val="default"/>
  </w:font>
  <w:font w:name="Calibri Light">
    <w:panose1 w:val="020F0302020204030204"/>
    <w:charset w:val="CC"/>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56F8" w:rsidRDefault="008656F8">
      <w:pPr>
        <w:spacing w:after="0" w:line="240" w:lineRule="auto"/>
      </w:pPr>
      <w:r>
        <w:separator/>
      </w:r>
    </w:p>
  </w:footnote>
  <w:footnote w:type="continuationSeparator" w:id="0">
    <w:p w:rsidR="008656F8" w:rsidRDefault="008656F8">
      <w:pPr>
        <w:spacing w:after="0" w:line="240" w:lineRule="auto"/>
      </w:pPr>
      <w:r>
        <w:continuationSeparator/>
      </w:r>
    </w:p>
  </w:footnote>
  <w:footnote w:id="1">
    <w:p w:rsidR="00B426C0" w:rsidRDefault="008656F8">
      <w:pPr>
        <w:pStyle w:val="a7"/>
        <w:snapToGrid w:val="0"/>
        <w:jc w:val="both"/>
        <w:rPr>
          <w:rFonts w:ascii="Times New Roman" w:hAnsi="Times New Roman" w:cs="Times New Roman"/>
        </w:rPr>
      </w:pPr>
      <w:r>
        <w:rPr>
          <w:rStyle w:val="ad"/>
          <w:rFonts w:ascii="Times New Roman" w:hAnsi="Times New Roman" w:cs="Times New Roman"/>
        </w:rPr>
        <w:footnoteRef/>
      </w:r>
      <w:r>
        <w:rPr>
          <w:rFonts w:ascii="Times New Roman" w:hAnsi="Times New Roman" w:cs="Times New Roman"/>
        </w:rPr>
        <w:t xml:space="preserve"> Constituția României republicată; publicată în Monitorul Ofic</w:t>
      </w:r>
      <w:r>
        <w:rPr>
          <w:rFonts w:ascii="Times New Roman" w:hAnsi="Times New Roman" w:cs="Times New Roman"/>
        </w:rPr>
        <w:t>ial al României nr. 767/31.10.2003</w:t>
      </w:r>
    </w:p>
  </w:footnote>
  <w:footnote w:id="2">
    <w:p w:rsidR="00B426C0" w:rsidRDefault="008656F8">
      <w:pPr>
        <w:pStyle w:val="a7"/>
        <w:snapToGrid w:val="0"/>
        <w:jc w:val="both"/>
      </w:pPr>
      <w:r>
        <w:rPr>
          <w:rStyle w:val="ad"/>
        </w:rPr>
        <w:footnoteRef/>
      </w:r>
      <w:r>
        <w:t xml:space="preserve"> </w:t>
      </w:r>
      <w:r>
        <w:rPr>
          <w:rFonts w:ascii="Times New Roman" w:hAnsi="Times New Roman" w:cs="Times New Roman"/>
        </w:rPr>
        <w:t xml:space="preserve">Legea </w:t>
      </w:r>
      <w:r>
        <w:rPr>
          <w:rFonts w:ascii="Times New Roman" w:hAnsi="Times New Roman" w:cs="Times New Roman"/>
        </w:rPr>
        <w:t>nr. 303/2004, publicată în Monitorul Oficial al României nr. 826/13.09.2005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230B22"/>
    <w:multiLevelType w:val="multilevel"/>
    <w:tmpl w:val="5B230B22"/>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4B"/>
    <w:rsid w:val="000032BF"/>
    <w:rsid w:val="00004254"/>
    <w:rsid w:val="00005CEE"/>
    <w:rsid w:val="00007D31"/>
    <w:rsid w:val="00010FA7"/>
    <w:rsid w:val="00011189"/>
    <w:rsid w:val="0001185B"/>
    <w:rsid w:val="000147A7"/>
    <w:rsid w:val="0002004F"/>
    <w:rsid w:val="000203F8"/>
    <w:rsid w:val="00020ACD"/>
    <w:rsid w:val="00022E0D"/>
    <w:rsid w:val="000249AE"/>
    <w:rsid w:val="00025354"/>
    <w:rsid w:val="00032069"/>
    <w:rsid w:val="0003210A"/>
    <w:rsid w:val="000408EF"/>
    <w:rsid w:val="00046BC6"/>
    <w:rsid w:val="0005252D"/>
    <w:rsid w:val="00060D16"/>
    <w:rsid w:val="00062727"/>
    <w:rsid w:val="00064B52"/>
    <w:rsid w:val="00064EE8"/>
    <w:rsid w:val="00066B56"/>
    <w:rsid w:val="00071AC9"/>
    <w:rsid w:val="00072B5C"/>
    <w:rsid w:val="000743E2"/>
    <w:rsid w:val="00082E57"/>
    <w:rsid w:val="00085465"/>
    <w:rsid w:val="00087890"/>
    <w:rsid w:val="00094995"/>
    <w:rsid w:val="000A6119"/>
    <w:rsid w:val="000A62D2"/>
    <w:rsid w:val="000A6478"/>
    <w:rsid w:val="000B2896"/>
    <w:rsid w:val="000B731C"/>
    <w:rsid w:val="000B734A"/>
    <w:rsid w:val="000C1A7D"/>
    <w:rsid w:val="000C35CD"/>
    <w:rsid w:val="000C7799"/>
    <w:rsid w:val="000D7347"/>
    <w:rsid w:val="000E1BFA"/>
    <w:rsid w:val="000E3AB9"/>
    <w:rsid w:val="000E3ED3"/>
    <w:rsid w:val="000F1189"/>
    <w:rsid w:val="0010084A"/>
    <w:rsid w:val="00104F5E"/>
    <w:rsid w:val="00105222"/>
    <w:rsid w:val="00113DC2"/>
    <w:rsid w:val="0011667D"/>
    <w:rsid w:val="001176FF"/>
    <w:rsid w:val="00120D23"/>
    <w:rsid w:val="0012400D"/>
    <w:rsid w:val="00136F14"/>
    <w:rsid w:val="001445FC"/>
    <w:rsid w:val="00145858"/>
    <w:rsid w:val="00145B45"/>
    <w:rsid w:val="001468E9"/>
    <w:rsid w:val="00163E6B"/>
    <w:rsid w:val="00165756"/>
    <w:rsid w:val="001740C9"/>
    <w:rsid w:val="0017447B"/>
    <w:rsid w:val="00174FA1"/>
    <w:rsid w:val="0017664A"/>
    <w:rsid w:val="001766AB"/>
    <w:rsid w:val="0018056D"/>
    <w:rsid w:val="00182229"/>
    <w:rsid w:val="001823BE"/>
    <w:rsid w:val="001851DA"/>
    <w:rsid w:val="0018781A"/>
    <w:rsid w:val="00195DBC"/>
    <w:rsid w:val="001979AF"/>
    <w:rsid w:val="001A4F17"/>
    <w:rsid w:val="001C155F"/>
    <w:rsid w:val="001C2A9A"/>
    <w:rsid w:val="001D0360"/>
    <w:rsid w:val="001D2B55"/>
    <w:rsid w:val="001D3CCF"/>
    <w:rsid w:val="001D4485"/>
    <w:rsid w:val="001E2C27"/>
    <w:rsid w:val="001E38E4"/>
    <w:rsid w:val="001F024E"/>
    <w:rsid w:val="001F0870"/>
    <w:rsid w:val="001F21E1"/>
    <w:rsid w:val="001F633A"/>
    <w:rsid w:val="00206347"/>
    <w:rsid w:val="00213787"/>
    <w:rsid w:val="00215042"/>
    <w:rsid w:val="002153EE"/>
    <w:rsid w:val="002157E8"/>
    <w:rsid w:val="0022245C"/>
    <w:rsid w:val="00224779"/>
    <w:rsid w:val="002252CF"/>
    <w:rsid w:val="00227A8B"/>
    <w:rsid w:val="00227EAE"/>
    <w:rsid w:val="00233317"/>
    <w:rsid w:val="00235BE7"/>
    <w:rsid w:val="00241CC9"/>
    <w:rsid w:val="002463FA"/>
    <w:rsid w:val="00254FAF"/>
    <w:rsid w:val="00265F3C"/>
    <w:rsid w:val="00272E38"/>
    <w:rsid w:val="00274D29"/>
    <w:rsid w:val="00275735"/>
    <w:rsid w:val="00276A80"/>
    <w:rsid w:val="00287461"/>
    <w:rsid w:val="00296BE5"/>
    <w:rsid w:val="002A4BA3"/>
    <w:rsid w:val="002A4D80"/>
    <w:rsid w:val="002B0A54"/>
    <w:rsid w:val="002B1A29"/>
    <w:rsid w:val="002B70BC"/>
    <w:rsid w:val="002C0086"/>
    <w:rsid w:val="002D2E26"/>
    <w:rsid w:val="002D3C3E"/>
    <w:rsid w:val="002D6CF1"/>
    <w:rsid w:val="002E2E6C"/>
    <w:rsid w:val="002E66ED"/>
    <w:rsid w:val="002F0AD4"/>
    <w:rsid w:val="002F0F89"/>
    <w:rsid w:val="002F1DE4"/>
    <w:rsid w:val="00301C8A"/>
    <w:rsid w:val="0030325D"/>
    <w:rsid w:val="003045F8"/>
    <w:rsid w:val="00305B2D"/>
    <w:rsid w:val="00312427"/>
    <w:rsid w:val="00315297"/>
    <w:rsid w:val="0031606A"/>
    <w:rsid w:val="00320698"/>
    <w:rsid w:val="0032585B"/>
    <w:rsid w:val="003268B7"/>
    <w:rsid w:val="00333487"/>
    <w:rsid w:val="00336768"/>
    <w:rsid w:val="003456A2"/>
    <w:rsid w:val="00350495"/>
    <w:rsid w:val="00355586"/>
    <w:rsid w:val="00355827"/>
    <w:rsid w:val="00356422"/>
    <w:rsid w:val="003570E2"/>
    <w:rsid w:val="003628D5"/>
    <w:rsid w:val="0036371A"/>
    <w:rsid w:val="0038298E"/>
    <w:rsid w:val="00382FEB"/>
    <w:rsid w:val="00382FFC"/>
    <w:rsid w:val="0038755B"/>
    <w:rsid w:val="00391DDF"/>
    <w:rsid w:val="00394487"/>
    <w:rsid w:val="003A2547"/>
    <w:rsid w:val="003A2CA0"/>
    <w:rsid w:val="003A3225"/>
    <w:rsid w:val="003A55C9"/>
    <w:rsid w:val="003B0588"/>
    <w:rsid w:val="003B6B68"/>
    <w:rsid w:val="003B7A04"/>
    <w:rsid w:val="003D1C77"/>
    <w:rsid w:val="003D66C2"/>
    <w:rsid w:val="003D79BE"/>
    <w:rsid w:val="003E6C7E"/>
    <w:rsid w:val="003F518F"/>
    <w:rsid w:val="003F54D4"/>
    <w:rsid w:val="004024E3"/>
    <w:rsid w:val="00402F16"/>
    <w:rsid w:val="00414035"/>
    <w:rsid w:val="00421D38"/>
    <w:rsid w:val="00437774"/>
    <w:rsid w:val="00440B5C"/>
    <w:rsid w:val="0044465A"/>
    <w:rsid w:val="00446817"/>
    <w:rsid w:val="00446BBA"/>
    <w:rsid w:val="00455562"/>
    <w:rsid w:val="00455D54"/>
    <w:rsid w:val="0046122D"/>
    <w:rsid w:val="00462A31"/>
    <w:rsid w:val="004707BD"/>
    <w:rsid w:val="00470873"/>
    <w:rsid w:val="00476414"/>
    <w:rsid w:val="00483C0C"/>
    <w:rsid w:val="00487659"/>
    <w:rsid w:val="00491CCC"/>
    <w:rsid w:val="00492FCF"/>
    <w:rsid w:val="004A1D7B"/>
    <w:rsid w:val="004B6C2F"/>
    <w:rsid w:val="004B6E9C"/>
    <w:rsid w:val="004C1025"/>
    <w:rsid w:val="004E1886"/>
    <w:rsid w:val="004E2B80"/>
    <w:rsid w:val="004E5799"/>
    <w:rsid w:val="004E6EFE"/>
    <w:rsid w:val="004F0206"/>
    <w:rsid w:val="004F1B76"/>
    <w:rsid w:val="004F3951"/>
    <w:rsid w:val="004F46E8"/>
    <w:rsid w:val="0050566D"/>
    <w:rsid w:val="005212D6"/>
    <w:rsid w:val="00530CB6"/>
    <w:rsid w:val="00535B4A"/>
    <w:rsid w:val="005402FF"/>
    <w:rsid w:val="00541A38"/>
    <w:rsid w:val="00542011"/>
    <w:rsid w:val="00547356"/>
    <w:rsid w:val="005575BF"/>
    <w:rsid w:val="0056145D"/>
    <w:rsid w:val="00566CE8"/>
    <w:rsid w:val="005713F7"/>
    <w:rsid w:val="00571531"/>
    <w:rsid w:val="00572819"/>
    <w:rsid w:val="00574D8E"/>
    <w:rsid w:val="0057503F"/>
    <w:rsid w:val="00577164"/>
    <w:rsid w:val="0059516F"/>
    <w:rsid w:val="005A275A"/>
    <w:rsid w:val="005B2998"/>
    <w:rsid w:val="005B408B"/>
    <w:rsid w:val="005B5BFC"/>
    <w:rsid w:val="005B64C1"/>
    <w:rsid w:val="005C72C4"/>
    <w:rsid w:val="005D41D8"/>
    <w:rsid w:val="005D4C58"/>
    <w:rsid w:val="005D5C3E"/>
    <w:rsid w:val="005E7926"/>
    <w:rsid w:val="005F0A38"/>
    <w:rsid w:val="00600F20"/>
    <w:rsid w:val="00604B9C"/>
    <w:rsid w:val="006067A4"/>
    <w:rsid w:val="00607DC2"/>
    <w:rsid w:val="00610115"/>
    <w:rsid w:val="006118A9"/>
    <w:rsid w:val="006148C3"/>
    <w:rsid w:val="00615FD3"/>
    <w:rsid w:val="00627F67"/>
    <w:rsid w:val="00636504"/>
    <w:rsid w:val="006410CB"/>
    <w:rsid w:val="00642280"/>
    <w:rsid w:val="00650F50"/>
    <w:rsid w:val="00653558"/>
    <w:rsid w:val="00654AF0"/>
    <w:rsid w:val="006615F4"/>
    <w:rsid w:val="0067152D"/>
    <w:rsid w:val="00674F2C"/>
    <w:rsid w:val="00680857"/>
    <w:rsid w:val="00680B07"/>
    <w:rsid w:val="00681FA0"/>
    <w:rsid w:val="00685A13"/>
    <w:rsid w:val="006865C8"/>
    <w:rsid w:val="0069002F"/>
    <w:rsid w:val="00693101"/>
    <w:rsid w:val="006957BA"/>
    <w:rsid w:val="006A1859"/>
    <w:rsid w:val="006A1877"/>
    <w:rsid w:val="006A1DBA"/>
    <w:rsid w:val="006A3643"/>
    <w:rsid w:val="006A49E4"/>
    <w:rsid w:val="006A5A8C"/>
    <w:rsid w:val="006B73D5"/>
    <w:rsid w:val="006C2028"/>
    <w:rsid w:val="006C3F28"/>
    <w:rsid w:val="006E1BA3"/>
    <w:rsid w:val="00706B90"/>
    <w:rsid w:val="00712FA9"/>
    <w:rsid w:val="00720E58"/>
    <w:rsid w:val="00732E82"/>
    <w:rsid w:val="007366B1"/>
    <w:rsid w:val="00737B29"/>
    <w:rsid w:val="00756052"/>
    <w:rsid w:val="007571C8"/>
    <w:rsid w:val="00757E5B"/>
    <w:rsid w:val="0076565F"/>
    <w:rsid w:val="00765883"/>
    <w:rsid w:val="00774D9A"/>
    <w:rsid w:val="00777E32"/>
    <w:rsid w:val="00780867"/>
    <w:rsid w:val="00780CB5"/>
    <w:rsid w:val="00785E90"/>
    <w:rsid w:val="00790725"/>
    <w:rsid w:val="007921CF"/>
    <w:rsid w:val="007B01B6"/>
    <w:rsid w:val="007C4ADD"/>
    <w:rsid w:val="007C5FB9"/>
    <w:rsid w:val="007C7C0B"/>
    <w:rsid w:val="007E5181"/>
    <w:rsid w:val="007E5B92"/>
    <w:rsid w:val="007E6ECC"/>
    <w:rsid w:val="007F147D"/>
    <w:rsid w:val="007F437C"/>
    <w:rsid w:val="007F575B"/>
    <w:rsid w:val="00800C84"/>
    <w:rsid w:val="008056B6"/>
    <w:rsid w:val="00805A75"/>
    <w:rsid w:val="00807714"/>
    <w:rsid w:val="008117AF"/>
    <w:rsid w:val="008177F0"/>
    <w:rsid w:val="00820691"/>
    <w:rsid w:val="00821A15"/>
    <w:rsid w:val="00827300"/>
    <w:rsid w:val="00831C13"/>
    <w:rsid w:val="00835134"/>
    <w:rsid w:val="0083567A"/>
    <w:rsid w:val="00841670"/>
    <w:rsid w:val="008424EE"/>
    <w:rsid w:val="00847853"/>
    <w:rsid w:val="00850E5A"/>
    <w:rsid w:val="00852E9F"/>
    <w:rsid w:val="00860441"/>
    <w:rsid w:val="00862E10"/>
    <w:rsid w:val="00863DFB"/>
    <w:rsid w:val="00865026"/>
    <w:rsid w:val="008656F8"/>
    <w:rsid w:val="00872628"/>
    <w:rsid w:val="00884445"/>
    <w:rsid w:val="00886FCF"/>
    <w:rsid w:val="00887199"/>
    <w:rsid w:val="0089155D"/>
    <w:rsid w:val="00896A62"/>
    <w:rsid w:val="008B7AD6"/>
    <w:rsid w:val="008C2A8E"/>
    <w:rsid w:val="008C3F56"/>
    <w:rsid w:val="008C6092"/>
    <w:rsid w:val="008D3056"/>
    <w:rsid w:val="008D6391"/>
    <w:rsid w:val="008E2154"/>
    <w:rsid w:val="008E6C91"/>
    <w:rsid w:val="008F3FB4"/>
    <w:rsid w:val="00900C07"/>
    <w:rsid w:val="00900F93"/>
    <w:rsid w:val="0090768F"/>
    <w:rsid w:val="00907747"/>
    <w:rsid w:val="00913103"/>
    <w:rsid w:val="009144EC"/>
    <w:rsid w:val="00915245"/>
    <w:rsid w:val="009211EF"/>
    <w:rsid w:val="0092502C"/>
    <w:rsid w:val="009271EC"/>
    <w:rsid w:val="00933109"/>
    <w:rsid w:val="00934A50"/>
    <w:rsid w:val="0095042B"/>
    <w:rsid w:val="009533D8"/>
    <w:rsid w:val="009721C4"/>
    <w:rsid w:val="009726F0"/>
    <w:rsid w:val="00972A05"/>
    <w:rsid w:val="009812D0"/>
    <w:rsid w:val="009857D6"/>
    <w:rsid w:val="009866A8"/>
    <w:rsid w:val="00993294"/>
    <w:rsid w:val="009A1BCF"/>
    <w:rsid w:val="009A2FC5"/>
    <w:rsid w:val="009A4779"/>
    <w:rsid w:val="009A7D40"/>
    <w:rsid w:val="009B0D25"/>
    <w:rsid w:val="009C1C7A"/>
    <w:rsid w:val="009C283D"/>
    <w:rsid w:val="009C3B51"/>
    <w:rsid w:val="009D4198"/>
    <w:rsid w:val="009E060E"/>
    <w:rsid w:val="009E646F"/>
    <w:rsid w:val="009E69BB"/>
    <w:rsid w:val="009E6D58"/>
    <w:rsid w:val="009F4FF7"/>
    <w:rsid w:val="00A03983"/>
    <w:rsid w:val="00A07809"/>
    <w:rsid w:val="00A11817"/>
    <w:rsid w:val="00A2632D"/>
    <w:rsid w:val="00A313DA"/>
    <w:rsid w:val="00A32797"/>
    <w:rsid w:val="00A3281A"/>
    <w:rsid w:val="00A33C0E"/>
    <w:rsid w:val="00A42CFF"/>
    <w:rsid w:val="00A42DB1"/>
    <w:rsid w:val="00A43DD5"/>
    <w:rsid w:val="00A516D8"/>
    <w:rsid w:val="00A64683"/>
    <w:rsid w:val="00A64AE3"/>
    <w:rsid w:val="00A65890"/>
    <w:rsid w:val="00A71068"/>
    <w:rsid w:val="00A81DCF"/>
    <w:rsid w:val="00A81F6B"/>
    <w:rsid w:val="00A82147"/>
    <w:rsid w:val="00A86BCE"/>
    <w:rsid w:val="00A9350C"/>
    <w:rsid w:val="00A944CB"/>
    <w:rsid w:val="00A97857"/>
    <w:rsid w:val="00AA6F88"/>
    <w:rsid w:val="00AB6CF5"/>
    <w:rsid w:val="00AC0A09"/>
    <w:rsid w:val="00AC27D9"/>
    <w:rsid w:val="00AC4328"/>
    <w:rsid w:val="00AD0684"/>
    <w:rsid w:val="00AD263F"/>
    <w:rsid w:val="00AD38DD"/>
    <w:rsid w:val="00AE166E"/>
    <w:rsid w:val="00AF0E76"/>
    <w:rsid w:val="00AF5872"/>
    <w:rsid w:val="00AF6528"/>
    <w:rsid w:val="00B02C60"/>
    <w:rsid w:val="00B071A8"/>
    <w:rsid w:val="00B100AB"/>
    <w:rsid w:val="00B12D9F"/>
    <w:rsid w:val="00B13313"/>
    <w:rsid w:val="00B15204"/>
    <w:rsid w:val="00B23DED"/>
    <w:rsid w:val="00B3207C"/>
    <w:rsid w:val="00B335CF"/>
    <w:rsid w:val="00B34C1C"/>
    <w:rsid w:val="00B35351"/>
    <w:rsid w:val="00B379F4"/>
    <w:rsid w:val="00B37BE2"/>
    <w:rsid w:val="00B37CE6"/>
    <w:rsid w:val="00B40096"/>
    <w:rsid w:val="00B426C0"/>
    <w:rsid w:val="00B50D0C"/>
    <w:rsid w:val="00B54143"/>
    <w:rsid w:val="00B5570B"/>
    <w:rsid w:val="00B56FBA"/>
    <w:rsid w:val="00B601B6"/>
    <w:rsid w:val="00B61DBC"/>
    <w:rsid w:val="00B67169"/>
    <w:rsid w:val="00B67695"/>
    <w:rsid w:val="00B8264B"/>
    <w:rsid w:val="00B82D18"/>
    <w:rsid w:val="00B84DA5"/>
    <w:rsid w:val="00B975D7"/>
    <w:rsid w:val="00BA714D"/>
    <w:rsid w:val="00BB77F4"/>
    <w:rsid w:val="00BC23A5"/>
    <w:rsid w:val="00BC59F2"/>
    <w:rsid w:val="00BD2A11"/>
    <w:rsid w:val="00BE4349"/>
    <w:rsid w:val="00BF2C65"/>
    <w:rsid w:val="00BF5B55"/>
    <w:rsid w:val="00C050DA"/>
    <w:rsid w:val="00C058B9"/>
    <w:rsid w:val="00C05DF8"/>
    <w:rsid w:val="00C05E9D"/>
    <w:rsid w:val="00C06143"/>
    <w:rsid w:val="00C063BF"/>
    <w:rsid w:val="00C07EC6"/>
    <w:rsid w:val="00C15F7B"/>
    <w:rsid w:val="00C20F80"/>
    <w:rsid w:val="00C24EDD"/>
    <w:rsid w:val="00C26DE0"/>
    <w:rsid w:val="00C3079B"/>
    <w:rsid w:val="00C31F10"/>
    <w:rsid w:val="00C40AFC"/>
    <w:rsid w:val="00C40D0C"/>
    <w:rsid w:val="00C40F45"/>
    <w:rsid w:val="00C53BD3"/>
    <w:rsid w:val="00C54F52"/>
    <w:rsid w:val="00C55DB2"/>
    <w:rsid w:val="00C568EB"/>
    <w:rsid w:val="00C750EB"/>
    <w:rsid w:val="00C77658"/>
    <w:rsid w:val="00C835A8"/>
    <w:rsid w:val="00C84C63"/>
    <w:rsid w:val="00C8553D"/>
    <w:rsid w:val="00C85B7B"/>
    <w:rsid w:val="00C92783"/>
    <w:rsid w:val="00C95F80"/>
    <w:rsid w:val="00C964C1"/>
    <w:rsid w:val="00CA304C"/>
    <w:rsid w:val="00CA62FE"/>
    <w:rsid w:val="00CC5763"/>
    <w:rsid w:val="00CC7AA7"/>
    <w:rsid w:val="00CD101E"/>
    <w:rsid w:val="00CD17C7"/>
    <w:rsid w:val="00CD2A4A"/>
    <w:rsid w:val="00CD325F"/>
    <w:rsid w:val="00CD3E32"/>
    <w:rsid w:val="00CD7C9C"/>
    <w:rsid w:val="00CE0128"/>
    <w:rsid w:val="00CE0B47"/>
    <w:rsid w:val="00CF517F"/>
    <w:rsid w:val="00D0017B"/>
    <w:rsid w:val="00D01ECE"/>
    <w:rsid w:val="00D02407"/>
    <w:rsid w:val="00D03CA7"/>
    <w:rsid w:val="00D049C1"/>
    <w:rsid w:val="00D11991"/>
    <w:rsid w:val="00D121AF"/>
    <w:rsid w:val="00D23C4C"/>
    <w:rsid w:val="00D25CF8"/>
    <w:rsid w:val="00D262FD"/>
    <w:rsid w:val="00D316D1"/>
    <w:rsid w:val="00D31F1E"/>
    <w:rsid w:val="00D3438A"/>
    <w:rsid w:val="00D34F4B"/>
    <w:rsid w:val="00D35542"/>
    <w:rsid w:val="00D4127F"/>
    <w:rsid w:val="00D42417"/>
    <w:rsid w:val="00D44284"/>
    <w:rsid w:val="00D456BA"/>
    <w:rsid w:val="00D5077D"/>
    <w:rsid w:val="00D508C3"/>
    <w:rsid w:val="00D5495C"/>
    <w:rsid w:val="00D6296D"/>
    <w:rsid w:val="00D641DC"/>
    <w:rsid w:val="00D663CF"/>
    <w:rsid w:val="00D72D1C"/>
    <w:rsid w:val="00D734F9"/>
    <w:rsid w:val="00D76949"/>
    <w:rsid w:val="00D82881"/>
    <w:rsid w:val="00D8298E"/>
    <w:rsid w:val="00D84918"/>
    <w:rsid w:val="00D90588"/>
    <w:rsid w:val="00D951C3"/>
    <w:rsid w:val="00DA1F71"/>
    <w:rsid w:val="00DA2FFB"/>
    <w:rsid w:val="00DB0C3C"/>
    <w:rsid w:val="00DB6780"/>
    <w:rsid w:val="00DB68FF"/>
    <w:rsid w:val="00DC2D17"/>
    <w:rsid w:val="00DC2D5D"/>
    <w:rsid w:val="00DC3EDE"/>
    <w:rsid w:val="00DD2ABF"/>
    <w:rsid w:val="00DD34A6"/>
    <w:rsid w:val="00DD6292"/>
    <w:rsid w:val="00DE6CB0"/>
    <w:rsid w:val="00DF0A78"/>
    <w:rsid w:val="00DF0F05"/>
    <w:rsid w:val="00DF27D4"/>
    <w:rsid w:val="00DF7FDA"/>
    <w:rsid w:val="00E008EA"/>
    <w:rsid w:val="00E06EB0"/>
    <w:rsid w:val="00E13A82"/>
    <w:rsid w:val="00E14351"/>
    <w:rsid w:val="00E144BB"/>
    <w:rsid w:val="00E15B4F"/>
    <w:rsid w:val="00E23BDE"/>
    <w:rsid w:val="00E273BA"/>
    <w:rsid w:val="00E36EE1"/>
    <w:rsid w:val="00E37439"/>
    <w:rsid w:val="00E543D8"/>
    <w:rsid w:val="00E549F3"/>
    <w:rsid w:val="00E55241"/>
    <w:rsid w:val="00E655C1"/>
    <w:rsid w:val="00E70EB7"/>
    <w:rsid w:val="00E74EE2"/>
    <w:rsid w:val="00E77B85"/>
    <w:rsid w:val="00E802AF"/>
    <w:rsid w:val="00E8045F"/>
    <w:rsid w:val="00E80DEF"/>
    <w:rsid w:val="00E81AC7"/>
    <w:rsid w:val="00E8532C"/>
    <w:rsid w:val="00E86AE0"/>
    <w:rsid w:val="00E908BB"/>
    <w:rsid w:val="00E9559B"/>
    <w:rsid w:val="00EA226B"/>
    <w:rsid w:val="00EA5315"/>
    <w:rsid w:val="00EB21B7"/>
    <w:rsid w:val="00EB67F4"/>
    <w:rsid w:val="00EC09D1"/>
    <w:rsid w:val="00EC27E2"/>
    <w:rsid w:val="00ED74DA"/>
    <w:rsid w:val="00EE0817"/>
    <w:rsid w:val="00EE2CAD"/>
    <w:rsid w:val="00EF21AF"/>
    <w:rsid w:val="00EF661F"/>
    <w:rsid w:val="00EF6B95"/>
    <w:rsid w:val="00F022D2"/>
    <w:rsid w:val="00F03ACC"/>
    <w:rsid w:val="00F06649"/>
    <w:rsid w:val="00F06E2E"/>
    <w:rsid w:val="00F17A2B"/>
    <w:rsid w:val="00F205DA"/>
    <w:rsid w:val="00F223D8"/>
    <w:rsid w:val="00F2343F"/>
    <w:rsid w:val="00F23FE0"/>
    <w:rsid w:val="00F26DC4"/>
    <w:rsid w:val="00F27126"/>
    <w:rsid w:val="00F27BF8"/>
    <w:rsid w:val="00F3329E"/>
    <w:rsid w:val="00F4047E"/>
    <w:rsid w:val="00F477E3"/>
    <w:rsid w:val="00F50A75"/>
    <w:rsid w:val="00F50AA6"/>
    <w:rsid w:val="00F5634D"/>
    <w:rsid w:val="00F60D69"/>
    <w:rsid w:val="00F61E5C"/>
    <w:rsid w:val="00F6674F"/>
    <w:rsid w:val="00F67275"/>
    <w:rsid w:val="00F73207"/>
    <w:rsid w:val="00F7356F"/>
    <w:rsid w:val="00F75E21"/>
    <w:rsid w:val="00F77854"/>
    <w:rsid w:val="00F77BBC"/>
    <w:rsid w:val="00F803AD"/>
    <w:rsid w:val="00F81945"/>
    <w:rsid w:val="00F91879"/>
    <w:rsid w:val="00F91F53"/>
    <w:rsid w:val="00F94243"/>
    <w:rsid w:val="00F949AF"/>
    <w:rsid w:val="00FA0E64"/>
    <w:rsid w:val="00FC52E0"/>
    <w:rsid w:val="00FC5623"/>
    <w:rsid w:val="00FC6115"/>
    <w:rsid w:val="00FD19D5"/>
    <w:rsid w:val="00FD1D00"/>
    <w:rsid w:val="00FD3A31"/>
    <w:rsid w:val="00FE0617"/>
    <w:rsid w:val="00FE5962"/>
    <w:rsid w:val="00FF1D61"/>
    <w:rsid w:val="027C544C"/>
    <w:rsid w:val="1428606A"/>
    <w:rsid w:val="2B422718"/>
    <w:rsid w:val="4C5119C4"/>
    <w:rsid w:val="50BA5197"/>
    <w:rsid w:val="5419641B"/>
    <w:rsid w:val="6F395C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3EE7C7-3D82-4940-84BA-3189047E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2"/>
      <w:szCs w:val="22"/>
      <w:lang w:val="ro-RO"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paragraph" w:styleId="a5">
    <w:name w:val="endnote text"/>
    <w:basedOn w:val="a"/>
    <w:link w:val="a6"/>
    <w:uiPriority w:val="99"/>
    <w:semiHidden/>
    <w:unhideWhenUsed/>
    <w:qFormat/>
    <w:pPr>
      <w:spacing w:after="0" w:line="240" w:lineRule="auto"/>
    </w:pPr>
    <w:rPr>
      <w:sz w:val="20"/>
      <w:szCs w:val="20"/>
    </w:rPr>
  </w:style>
  <w:style w:type="paragraph" w:styleId="a7">
    <w:name w:val="footnote text"/>
    <w:basedOn w:val="a"/>
    <w:link w:val="a8"/>
    <w:uiPriority w:val="99"/>
    <w:semiHidden/>
    <w:unhideWhenUsed/>
    <w:qFormat/>
    <w:pPr>
      <w:spacing w:after="0" w:line="240" w:lineRule="auto"/>
    </w:pPr>
    <w:rPr>
      <w:sz w:val="20"/>
      <w:szCs w:val="20"/>
    </w:rPr>
  </w:style>
  <w:style w:type="paragraph" w:styleId="a9">
    <w:name w:val="header"/>
    <w:basedOn w:val="a"/>
    <w:link w:val="aa"/>
    <w:uiPriority w:val="99"/>
    <w:unhideWhenUsed/>
    <w:qFormat/>
    <w:pPr>
      <w:tabs>
        <w:tab w:val="center" w:pos="4513"/>
        <w:tab w:val="right" w:pos="9026"/>
      </w:tabs>
      <w:spacing w:after="0" w:line="240" w:lineRule="auto"/>
    </w:pPr>
  </w:style>
  <w:style w:type="paragraph" w:styleId="ab">
    <w:name w:val="footer"/>
    <w:basedOn w:val="a"/>
    <w:link w:val="ac"/>
    <w:uiPriority w:val="99"/>
    <w:unhideWhenUsed/>
    <w:qFormat/>
    <w:pPr>
      <w:tabs>
        <w:tab w:val="center" w:pos="4513"/>
        <w:tab w:val="right" w:pos="9026"/>
      </w:tabs>
      <w:spacing w:after="0" w:line="240" w:lineRule="auto"/>
    </w:pPr>
  </w:style>
  <w:style w:type="character" w:styleId="ad">
    <w:name w:val="footnote reference"/>
    <w:basedOn w:val="a0"/>
    <w:uiPriority w:val="99"/>
    <w:semiHidden/>
    <w:unhideWhenUsed/>
    <w:rPr>
      <w:vertAlign w:val="superscript"/>
    </w:rPr>
  </w:style>
  <w:style w:type="character" w:styleId="ae">
    <w:name w:val="endnote reference"/>
    <w:basedOn w:val="a0"/>
    <w:uiPriority w:val="99"/>
    <w:semiHidden/>
    <w:unhideWhenUsed/>
    <w:qFormat/>
    <w:rPr>
      <w:vertAlign w:val="superscript"/>
    </w:rPr>
  </w:style>
  <w:style w:type="character" w:styleId="af">
    <w:name w:val="Hyperlink"/>
    <w:basedOn w:val="a0"/>
    <w:uiPriority w:val="99"/>
    <w:unhideWhenUsed/>
    <w:qFormat/>
    <w:rPr>
      <w:color w:val="0563C1" w:themeColor="hyperlink"/>
      <w:u w:val="single"/>
    </w:rPr>
  </w:style>
  <w:style w:type="paragraph" w:styleId="af0">
    <w:name w:val="List Paragraph"/>
    <w:basedOn w:val="a"/>
    <w:uiPriority w:val="34"/>
    <w:qFormat/>
    <w:pPr>
      <w:ind w:left="720"/>
      <w:contextualSpacing/>
    </w:pPr>
  </w:style>
  <w:style w:type="character" w:customStyle="1" w:styleId="a8">
    <w:name w:val="Текст сноски Знак"/>
    <w:basedOn w:val="a0"/>
    <w:link w:val="a7"/>
    <w:uiPriority w:val="99"/>
    <w:semiHidden/>
    <w:rPr>
      <w:sz w:val="20"/>
      <w:szCs w:val="20"/>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a">
    <w:name w:val="Верхний колонтитул Знак"/>
    <w:basedOn w:val="a0"/>
    <w:link w:val="a9"/>
    <w:uiPriority w:val="99"/>
    <w:qFormat/>
  </w:style>
  <w:style w:type="character" w:customStyle="1" w:styleId="ac">
    <w:name w:val="Нижний колонтитул Знак"/>
    <w:basedOn w:val="a0"/>
    <w:link w:val="ab"/>
    <w:uiPriority w:val="99"/>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6">
    <w:name w:val="Текст концевой сноски Знак"/>
    <w:basedOn w:val="a0"/>
    <w:link w:val="a5"/>
    <w:uiPriority w:val="99"/>
    <w:semiHidden/>
    <w:qForma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57EDA1-7F08-4D2B-88FB-4D2E7FAED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1592</Words>
  <Characters>9077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Vasile Draghici</dc:creator>
  <cp:lastModifiedBy>admin</cp:lastModifiedBy>
  <cp:revision>2</cp:revision>
  <cp:lastPrinted>2021-10-07T09:16:00Z</cp:lastPrinted>
  <dcterms:created xsi:type="dcterms:W3CDTF">2021-11-18T17:55:00Z</dcterms:created>
  <dcterms:modified xsi:type="dcterms:W3CDTF">2021-11-18T17:55:00Z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1049-10.2.0.7636</vt:lpwstr>
  </property>
</Properties>
</file>